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b/>
          <w:color w:val="auto"/>
          <w:sz w:val="36"/>
          <w:szCs w:val="36"/>
        </w:rPr>
      </w:pPr>
      <w:bookmarkStart w:id="0" w:name="OLE_LINK48"/>
      <w:bookmarkStart w:id="1" w:name="OLE_LINK76"/>
      <w:bookmarkStart w:id="2" w:name="OLE_LINK47"/>
      <w:bookmarkStart w:id="3" w:name="OLE_LINK77"/>
      <w:bookmarkStart w:id="4" w:name="OLE_LINK46"/>
      <w:bookmarkStart w:id="5" w:name="OLE_LINK49"/>
      <w:r>
        <w:rPr>
          <w:rFonts w:hint="eastAsia" w:ascii="仿宋" w:hAnsi="仿宋" w:eastAsia="仿宋" w:cs="仿宋"/>
          <w:b/>
          <w:color w:val="auto"/>
          <w:sz w:val="36"/>
          <w:szCs w:val="36"/>
        </w:rPr>
        <w:t>附件1</w:t>
      </w:r>
    </w:p>
    <w:bookmarkEnd w:id="0"/>
    <w:bookmarkEnd w:id="1"/>
    <w:bookmarkEnd w:id="2"/>
    <w:bookmarkEnd w:id="3"/>
    <w:bookmarkEnd w:id="4"/>
    <w:bookmarkEnd w:id="5"/>
    <w:p>
      <w:pPr>
        <w:jc w:val="center"/>
        <w:rPr>
          <w:rFonts w:asciiTheme="minorEastAsia" w:hAnsiTheme="minorEastAsia"/>
          <w:b/>
          <w:color w:val="auto"/>
          <w:sz w:val="36"/>
          <w:szCs w:val="36"/>
        </w:rPr>
      </w:pPr>
      <w:r>
        <w:rPr>
          <w:rFonts w:hint="eastAsia" w:ascii="仿宋" w:hAnsi="仿宋" w:eastAsia="仿宋" w:cs="仿宋"/>
          <w:b/>
          <w:color w:val="auto"/>
          <w:sz w:val="36"/>
          <w:szCs w:val="36"/>
        </w:rPr>
        <w:t>集装箱服务收费项目标准</w:t>
      </w:r>
    </w:p>
    <w:p>
      <w:pPr>
        <w:ind w:firstLine="602" w:firstLineChars="200"/>
        <w:rPr>
          <w:rFonts w:ascii="仿宋" w:hAnsi="仿宋" w:eastAsia="仿宋"/>
          <w:b/>
          <w:color w:val="auto"/>
          <w:sz w:val="30"/>
          <w:szCs w:val="30"/>
        </w:rPr>
      </w:pPr>
    </w:p>
    <w:p>
      <w:pPr>
        <w:ind w:firstLine="602" w:firstLineChars="200"/>
        <w:rPr>
          <w:rFonts w:ascii="仿宋" w:hAnsi="仿宋" w:eastAsia="仿宋"/>
          <w:b/>
          <w:color w:val="auto"/>
          <w:sz w:val="30"/>
          <w:szCs w:val="30"/>
        </w:rPr>
      </w:pPr>
      <w:r>
        <w:rPr>
          <w:rFonts w:hint="eastAsia" w:ascii="仿宋" w:hAnsi="仿宋" w:eastAsia="仿宋"/>
          <w:b/>
          <w:color w:val="auto"/>
          <w:sz w:val="30"/>
          <w:szCs w:val="30"/>
        </w:rPr>
        <w:t>一、总则</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ascii="仿宋" w:hAnsi="仿宋" w:eastAsia="仿宋"/>
          <w:color w:val="auto"/>
          <w:sz w:val="32"/>
          <w:szCs w:val="32"/>
        </w:rPr>
      </w:pPr>
      <w:r>
        <w:rPr>
          <w:rFonts w:hint="eastAsia" w:ascii="仿宋" w:hAnsi="仿宋" w:eastAsia="仿宋"/>
          <w:color w:val="auto"/>
          <w:sz w:val="32"/>
          <w:szCs w:val="32"/>
        </w:rPr>
        <w:t>（一）本标准适用于台州港域内从事港口经营的企业。</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ascii="仿宋" w:hAnsi="仿宋" w:eastAsia="仿宋"/>
          <w:color w:val="auto"/>
          <w:sz w:val="32"/>
          <w:szCs w:val="32"/>
        </w:rPr>
      </w:pPr>
      <w:r>
        <w:rPr>
          <w:rFonts w:hint="eastAsia" w:ascii="仿宋" w:hAnsi="仿宋" w:eastAsia="仿宋"/>
          <w:color w:val="auto"/>
          <w:sz w:val="32"/>
          <w:szCs w:val="32"/>
        </w:rPr>
        <w:t>（二）本标准所公布的收费标准为最高价格，实际收费标准和费用结算方式按照与班轮公司签订的《</w:t>
      </w:r>
      <w:r>
        <w:rPr>
          <w:rFonts w:hint="eastAsia" w:ascii="仿宋" w:hAnsi="仿宋" w:eastAsia="仿宋"/>
          <w:bCs/>
          <w:color w:val="auto"/>
          <w:sz w:val="32"/>
          <w:szCs w:val="32"/>
        </w:rPr>
        <w:t>集装箱港口作业服务合同</w:t>
      </w:r>
      <w:r>
        <w:rPr>
          <w:rFonts w:hint="eastAsia" w:ascii="仿宋" w:hAnsi="仿宋" w:eastAsia="仿宋"/>
          <w:color w:val="auto"/>
          <w:sz w:val="32"/>
          <w:szCs w:val="32"/>
        </w:rPr>
        <w:t>》、与货方签订的《码头作业服务合同》以及其他委托作业协议等执行。</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olor w:val="auto"/>
          <w:sz w:val="32"/>
          <w:szCs w:val="32"/>
        </w:rPr>
      </w:pPr>
      <w:r>
        <w:rPr>
          <w:rFonts w:hint="eastAsia" w:ascii="仿宋" w:hAnsi="仿宋" w:eastAsia="仿宋"/>
          <w:color w:val="auto"/>
          <w:sz w:val="32"/>
          <w:szCs w:val="32"/>
        </w:rPr>
        <w:t>（三）集装箱港口作业包干费按实际作业环节、服务内容，综合计收港口作业包干费。集装箱按1个或若干个集装箱向不同付费人各计收1次港口作业包干费。</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olor w:val="auto"/>
          <w:sz w:val="32"/>
          <w:szCs w:val="32"/>
        </w:rPr>
      </w:pPr>
      <w:r>
        <w:rPr>
          <w:rFonts w:hint="eastAsia" w:ascii="仿宋" w:hAnsi="仿宋" w:eastAsia="仿宋"/>
          <w:color w:val="auto"/>
          <w:sz w:val="32"/>
          <w:szCs w:val="32"/>
        </w:rPr>
        <w:t>（四）港口收费结算时间节点：船方费用以船舶靠泊时 间为节点；货方费用的托收部分，进口箱以提离时间为节点， 出口箱以装船确认时间为节点，现收部分以开票时间为节点。</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ascii="仿宋" w:hAnsi="仿宋" w:eastAsia="仿宋"/>
          <w:color w:val="auto"/>
          <w:sz w:val="32"/>
          <w:szCs w:val="32"/>
        </w:rPr>
      </w:pPr>
      <w:r>
        <w:rPr>
          <w:rFonts w:hint="eastAsia" w:ascii="仿宋" w:hAnsi="仿宋" w:eastAsia="仿宋"/>
          <w:color w:val="auto"/>
          <w:sz w:val="32"/>
          <w:szCs w:val="32"/>
        </w:rPr>
        <w:t>（</w:t>
      </w:r>
      <w:r>
        <w:rPr>
          <w:rFonts w:hint="eastAsia" w:ascii="仿宋" w:hAnsi="仿宋" w:eastAsia="仿宋"/>
          <w:color w:val="auto"/>
          <w:sz w:val="32"/>
          <w:szCs w:val="32"/>
          <w:lang w:val="en-US" w:eastAsia="zh-CN"/>
        </w:rPr>
        <w:t>五</w:t>
      </w:r>
      <w:r>
        <w:rPr>
          <w:rFonts w:hint="eastAsia" w:ascii="仿宋" w:hAnsi="仿宋" w:eastAsia="仿宋"/>
          <w:color w:val="auto"/>
          <w:sz w:val="32"/>
          <w:szCs w:val="32"/>
        </w:rPr>
        <w:t>）集装箱港口作业包干费根据不</w:t>
      </w:r>
      <w:r>
        <w:rPr>
          <w:rFonts w:ascii="仿宋" w:hAnsi="仿宋" w:eastAsia="仿宋"/>
          <w:color w:val="auto"/>
          <w:sz w:val="32"/>
          <w:szCs w:val="32"/>
        </w:rPr>
        <w:t>同</w:t>
      </w:r>
      <w:r>
        <w:rPr>
          <w:rFonts w:hint="eastAsia" w:ascii="仿宋" w:hAnsi="仿宋" w:eastAsia="仿宋"/>
          <w:color w:val="auto"/>
          <w:sz w:val="32"/>
          <w:szCs w:val="32"/>
        </w:rPr>
        <w:t>业</w:t>
      </w:r>
      <w:r>
        <w:rPr>
          <w:rFonts w:ascii="仿宋" w:hAnsi="仿宋" w:eastAsia="仿宋"/>
          <w:color w:val="auto"/>
          <w:sz w:val="32"/>
          <w:szCs w:val="32"/>
        </w:rPr>
        <w:t>务类型</w:t>
      </w:r>
      <w:r>
        <w:rPr>
          <w:rFonts w:hint="eastAsia" w:ascii="仿宋" w:hAnsi="仿宋" w:eastAsia="仿宋"/>
          <w:color w:val="auto"/>
          <w:sz w:val="32"/>
          <w:szCs w:val="32"/>
        </w:rPr>
        <w:t>、集疏</w:t>
      </w:r>
      <w:r>
        <w:rPr>
          <w:rFonts w:ascii="仿宋" w:hAnsi="仿宋" w:eastAsia="仿宋"/>
          <w:color w:val="auto"/>
          <w:sz w:val="32"/>
          <w:szCs w:val="32"/>
        </w:rPr>
        <w:t>港作业方式</w:t>
      </w:r>
      <w:r>
        <w:rPr>
          <w:rFonts w:hint="eastAsia" w:ascii="仿宋" w:hAnsi="仿宋" w:eastAsia="仿宋"/>
          <w:color w:val="auto"/>
          <w:sz w:val="32"/>
          <w:szCs w:val="32"/>
        </w:rPr>
        <w:t>制订</w:t>
      </w:r>
      <w:r>
        <w:rPr>
          <w:rFonts w:ascii="仿宋" w:hAnsi="仿宋" w:eastAsia="仿宋"/>
          <w:color w:val="auto"/>
          <w:sz w:val="32"/>
          <w:szCs w:val="32"/>
        </w:rPr>
        <w:t>装卸船</w:t>
      </w:r>
      <w:r>
        <w:rPr>
          <w:rFonts w:hint="eastAsia" w:ascii="仿宋" w:hAnsi="仿宋" w:eastAsia="仿宋"/>
          <w:color w:val="auto"/>
          <w:sz w:val="32"/>
          <w:szCs w:val="32"/>
        </w:rPr>
        <w:t>、场</w:t>
      </w:r>
      <w:r>
        <w:rPr>
          <w:rFonts w:ascii="仿宋" w:hAnsi="仿宋" w:eastAsia="仿宋"/>
          <w:color w:val="auto"/>
          <w:sz w:val="32"/>
          <w:szCs w:val="32"/>
        </w:rPr>
        <w:t>内作</w:t>
      </w:r>
      <w:r>
        <w:rPr>
          <w:rFonts w:hint="eastAsia" w:ascii="仿宋" w:hAnsi="仿宋" w:eastAsia="仿宋"/>
          <w:color w:val="auto"/>
          <w:sz w:val="32"/>
          <w:szCs w:val="32"/>
        </w:rPr>
        <w:t>业、及港</w:t>
      </w:r>
      <w:r>
        <w:rPr>
          <w:rFonts w:ascii="仿宋" w:hAnsi="仿宋" w:eastAsia="仿宋"/>
          <w:color w:val="auto"/>
          <w:sz w:val="32"/>
          <w:szCs w:val="32"/>
        </w:rPr>
        <w:t>内集装箱增值服务（</w:t>
      </w:r>
      <w:r>
        <w:rPr>
          <w:rFonts w:hint="eastAsia" w:ascii="仿宋" w:hAnsi="仿宋" w:eastAsia="仿宋"/>
          <w:color w:val="auto"/>
          <w:sz w:val="32"/>
          <w:szCs w:val="32"/>
        </w:rPr>
        <w:t>辅助</w:t>
      </w:r>
      <w:r>
        <w:rPr>
          <w:rFonts w:ascii="仿宋" w:hAnsi="仿宋" w:eastAsia="仿宋"/>
          <w:color w:val="auto"/>
          <w:sz w:val="32"/>
          <w:szCs w:val="32"/>
        </w:rPr>
        <w:t>查验</w:t>
      </w:r>
      <w:r>
        <w:rPr>
          <w:rFonts w:hint="eastAsia" w:ascii="仿宋" w:hAnsi="仿宋" w:eastAsia="仿宋"/>
          <w:color w:val="auto"/>
          <w:sz w:val="32"/>
          <w:szCs w:val="32"/>
        </w:rPr>
        <w:t>、集装箱仓库服务）等服务</w:t>
      </w:r>
      <w:r>
        <w:rPr>
          <w:rFonts w:ascii="仿宋" w:hAnsi="仿宋" w:eastAsia="仿宋"/>
          <w:color w:val="auto"/>
          <w:sz w:val="32"/>
          <w:szCs w:val="32"/>
        </w:rPr>
        <w:t>内容</w:t>
      </w:r>
      <w:r>
        <w:rPr>
          <w:rFonts w:hint="eastAsia" w:ascii="仿宋" w:hAnsi="仿宋" w:eastAsia="仿宋"/>
          <w:color w:val="auto"/>
          <w:sz w:val="32"/>
          <w:szCs w:val="32"/>
        </w:rPr>
        <w:t>及</w:t>
      </w:r>
      <w:r>
        <w:rPr>
          <w:rFonts w:ascii="仿宋" w:hAnsi="仿宋" w:eastAsia="仿宋"/>
          <w:color w:val="auto"/>
          <w:sz w:val="32"/>
          <w:szCs w:val="32"/>
        </w:rPr>
        <w:t>相应收费</w:t>
      </w:r>
      <w:r>
        <w:rPr>
          <w:rFonts w:hint="eastAsia" w:ascii="仿宋" w:hAnsi="仿宋" w:eastAsia="仿宋"/>
          <w:color w:val="auto"/>
          <w:sz w:val="32"/>
          <w:szCs w:val="32"/>
        </w:rPr>
        <w:t>标准。最高收费不超过本标准所公布的服务作业项目收费标准之和，并</w:t>
      </w:r>
      <w:r>
        <w:rPr>
          <w:rFonts w:ascii="仿宋" w:hAnsi="仿宋" w:eastAsia="仿宋"/>
          <w:color w:val="auto"/>
          <w:sz w:val="32"/>
          <w:szCs w:val="32"/>
        </w:rPr>
        <w:t>按实际发生的服务作业内容</w:t>
      </w:r>
      <w:r>
        <w:rPr>
          <w:rFonts w:hint="eastAsia" w:ascii="仿宋" w:hAnsi="仿宋" w:eastAsia="仿宋"/>
          <w:color w:val="auto"/>
          <w:sz w:val="32"/>
          <w:szCs w:val="32"/>
        </w:rPr>
        <w:t>向</w:t>
      </w:r>
      <w:r>
        <w:rPr>
          <w:rFonts w:ascii="仿宋" w:hAnsi="仿宋" w:eastAsia="仿宋"/>
          <w:color w:val="auto"/>
          <w:sz w:val="32"/>
          <w:szCs w:val="32"/>
        </w:rPr>
        <w:t>不同付费人分摊计收。</w:t>
      </w:r>
    </w:p>
    <w:p>
      <w:pPr>
        <w:ind w:firstLine="320" w:firstLineChars="100"/>
        <w:jc w:val="both"/>
        <w:rPr>
          <w:rFonts w:ascii="仿宋" w:hAnsi="仿宋" w:eastAsia="仿宋"/>
          <w:color w:val="auto"/>
          <w:sz w:val="32"/>
          <w:szCs w:val="32"/>
        </w:rPr>
        <w:sectPr>
          <w:footerReference r:id="rId3" w:type="default"/>
          <w:pgSz w:w="11906" w:h="16838"/>
          <w:pgMar w:top="1440" w:right="1803" w:bottom="1440" w:left="1803" w:header="851" w:footer="992" w:gutter="0"/>
          <w:pgBorders>
            <w:top w:val="none" w:sz="0" w:space="0"/>
            <w:left w:val="none" w:sz="0" w:space="0"/>
            <w:bottom w:val="none" w:sz="0" w:space="0"/>
            <w:right w:val="none" w:sz="0" w:space="0"/>
          </w:pgBorders>
          <w:cols w:space="425" w:num="1"/>
          <w:docGrid w:type="lines" w:linePitch="312" w:charSpace="0"/>
        </w:sectPr>
      </w:pPr>
    </w:p>
    <w:p>
      <w:pPr>
        <w:widowControl/>
        <w:ind w:firstLine="301" w:firstLineChars="100"/>
        <w:jc w:val="left"/>
        <w:rPr>
          <w:rFonts w:ascii="仿宋" w:hAnsi="仿宋" w:eastAsia="仿宋"/>
          <w:b/>
          <w:color w:val="auto"/>
          <w:sz w:val="30"/>
          <w:szCs w:val="30"/>
        </w:rPr>
      </w:pPr>
      <w:r>
        <w:rPr>
          <w:rFonts w:hint="eastAsia" w:ascii="仿宋" w:hAnsi="仿宋" w:eastAsia="仿宋"/>
          <w:b/>
          <w:color w:val="auto"/>
          <w:sz w:val="30"/>
          <w:szCs w:val="30"/>
        </w:rPr>
        <w:t>二</w:t>
      </w:r>
      <w:r>
        <w:rPr>
          <w:rFonts w:ascii="仿宋" w:hAnsi="仿宋" w:eastAsia="仿宋"/>
          <w:b/>
          <w:color w:val="auto"/>
          <w:sz w:val="30"/>
          <w:szCs w:val="30"/>
        </w:rPr>
        <w:t>、港口作业包干费</w:t>
      </w:r>
    </w:p>
    <w:p>
      <w:pPr>
        <w:rPr>
          <w:rFonts w:ascii="仿宋" w:hAnsi="仿宋" w:eastAsia="仿宋"/>
          <w:color w:val="auto"/>
          <w:sz w:val="30"/>
          <w:szCs w:val="30"/>
        </w:rPr>
      </w:pPr>
      <w:r>
        <w:rPr>
          <w:rFonts w:hint="eastAsia" w:ascii="仿宋" w:hAnsi="仿宋" w:eastAsia="仿宋"/>
          <w:color w:val="auto"/>
          <w:sz w:val="30"/>
          <w:szCs w:val="30"/>
        </w:rPr>
        <w:t>（一）装卸船（单位</w:t>
      </w:r>
      <w:r>
        <w:rPr>
          <w:rFonts w:ascii="仿宋" w:hAnsi="仿宋" w:eastAsia="仿宋"/>
          <w:color w:val="auto"/>
          <w:sz w:val="30"/>
          <w:szCs w:val="30"/>
        </w:rPr>
        <w:t>：元</w:t>
      </w:r>
      <w:r>
        <w:rPr>
          <w:rFonts w:hint="eastAsia" w:ascii="仿宋" w:hAnsi="仿宋" w:eastAsia="仿宋"/>
          <w:color w:val="auto"/>
          <w:sz w:val="30"/>
          <w:szCs w:val="30"/>
        </w:rPr>
        <w:t>）</w:t>
      </w:r>
    </w:p>
    <w:tbl>
      <w:tblPr>
        <w:tblStyle w:val="5"/>
        <w:tblW w:w="10597"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autofit"/>
        <w:tblCellMar>
          <w:top w:w="0" w:type="dxa"/>
          <w:left w:w="108" w:type="dxa"/>
          <w:bottom w:w="0" w:type="dxa"/>
          <w:right w:w="108" w:type="dxa"/>
        </w:tblCellMar>
      </w:tblPr>
      <w:tblGrid>
        <w:gridCol w:w="1843"/>
        <w:gridCol w:w="2693"/>
        <w:gridCol w:w="2146"/>
        <w:gridCol w:w="1984"/>
        <w:gridCol w:w="1931"/>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4536" w:type="dxa"/>
            <w:gridSpan w:val="2"/>
            <w:vMerge w:val="restart"/>
            <w:tcBorders>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箱型</w:t>
            </w:r>
          </w:p>
        </w:tc>
        <w:tc>
          <w:tcPr>
            <w:tcW w:w="4130" w:type="dxa"/>
            <w:gridSpan w:val="2"/>
            <w:tcBorders>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水水非中转</w:t>
            </w:r>
          </w:p>
        </w:tc>
        <w:tc>
          <w:tcPr>
            <w:tcW w:w="1931" w:type="dxa"/>
            <w:vMerge w:val="restart"/>
            <w:tcBorders>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水水中转</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4536" w:type="dxa"/>
            <w:gridSpan w:val="2"/>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4130"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装/卸船</w:t>
            </w:r>
          </w:p>
        </w:tc>
        <w:tc>
          <w:tcPr>
            <w:tcW w:w="1931" w:type="dxa"/>
            <w:vMerge w:val="continue"/>
            <w:tcBorders>
              <w:top w:val="single" w:color="auto" w:sz="4" w:space="0"/>
              <w:left w:val="single" w:color="auto" w:sz="4" w:space="0"/>
              <w:bottom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4536" w:type="dxa"/>
            <w:gridSpan w:val="2"/>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214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外贸</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内贸</w:t>
            </w:r>
          </w:p>
        </w:tc>
        <w:tc>
          <w:tcPr>
            <w:tcW w:w="1931"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内外贸</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4536" w:type="dxa"/>
            <w:gridSpan w:val="2"/>
            <w:tcBorders>
              <w:top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付费人</w:t>
            </w:r>
          </w:p>
        </w:tc>
        <w:tc>
          <w:tcPr>
            <w:tcW w:w="214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船方</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船方</w:t>
            </w:r>
          </w:p>
        </w:tc>
        <w:tc>
          <w:tcPr>
            <w:tcW w:w="1931"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船方</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3" w:type="dxa"/>
            <w:vMerge w:val="restart"/>
            <w:tcBorders>
              <w:top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20英尺</w:t>
            </w:r>
          </w:p>
        </w:tc>
        <w:tc>
          <w:tcPr>
            <w:tcW w:w="269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普通重箱</w:t>
            </w:r>
          </w:p>
        </w:tc>
        <w:tc>
          <w:tcPr>
            <w:tcW w:w="214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textAlignment w:val="center"/>
              <w:rPr>
                <w:rFonts w:hint="default" w:ascii="微软雅黑" w:hAnsi="微软雅黑" w:eastAsia="微软雅黑" w:cs="微软雅黑"/>
                <w:color w:val="auto"/>
                <w:sz w:val="32"/>
                <w:szCs w:val="32"/>
              </w:rPr>
            </w:pPr>
            <w:r>
              <w:rPr>
                <w:rFonts w:hint="eastAsia" w:ascii="仿宋" w:hAnsi="仿宋" w:eastAsia="仿宋" w:cs="宋体"/>
                <w:color w:val="auto"/>
                <w:kern w:val="0"/>
                <w:sz w:val="30"/>
                <w:szCs w:val="30"/>
              </w:rPr>
              <w:t>539</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371.38</w:t>
            </w:r>
          </w:p>
        </w:tc>
        <w:tc>
          <w:tcPr>
            <w:tcW w:w="1931" w:type="dxa"/>
            <w:tcBorders>
              <w:top w:val="single" w:color="auto" w:sz="4" w:space="0"/>
              <w:left w:val="single" w:color="auto" w:sz="4" w:space="0"/>
              <w:bottom w:val="single" w:color="auto" w:sz="4" w:space="0"/>
            </w:tcBorders>
            <w:shd w:val="clear" w:color="000000" w:fill="FFFFFF"/>
            <w:noWrap/>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default" w:ascii="仿宋" w:hAnsi="仿宋" w:eastAsia="仿宋" w:cs="宋体"/>
                <w:color w:val="auto"/>
                <w:kern w:val="0"/>
                <w:sz w:val="30"/>
                <w:szCs w:val="30"/>
              </w:rPr>
              <w:t>300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1843" w:type="dxa"/>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269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空箱</w:t>
            </w:r>
          </w:p>
        </w:tc>
        <w:tc>
          <w:tcPr>
            <w:tcW w:w="214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472</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184.86</w:t>
            </w:r>
          </w:p>
        </w:tc>
        <w:tc>
          <w:tcPr>
            <w:tcW w:w="1931" w:type="dxa"/>
            <w:tcBorders>
              <w:top w:val="single" w:color="auto" w:sz="4" w:space="0"/>
              <w:left w:val="single" w:color="auto" w:sz="4" w:space="0"/>
              <w:bottom w:val="single" w:color="auto" w:sz="4" w:space="0"/>
            </w:tcBorders>
            <w:shd w:val="clear" w:color="000000" w:fill="FFFFFF"/>
            <w:noWrap/>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default" w:ascii="仿宋" w:hAnsi="仿宋" w:eastAsia="仿宋" w:cs="宋体"/>
                <w:color w:val="auto"/>
                <w:kern w:val="0"/>
                <w:sz w:val="30"/>
                <w:szCs w:val="30"/>
              </w:rPr>
              <w:t>192</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3" w:type="dxa"/>
            <w:vMerge w:val="restart"/>
            <w:tcBorders>
              <w:top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40英尺</w:t>
            </w:r>
          </w:p>
        </w:tc>
        <w:tc>
          <w:tcPr>
            <w:tcW w:w="269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普通重箱</w:t>
            </w:r>
          </w:p>
        </w:tc>
        <w:tc>
          <w:tcPr>
            <w:tcW w:w="214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826</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557.06</w:t>
            </w:r>
          </w:p>
        </w:tc>
        <w:tc>
          <w:tcPr>
            <w:tcW w:w="1931" w:type="dxa"/>
            <w:tcBorders>
              <w:top w:val="single" w:color="auto" w:sz="4" w:space="0"/>
              <w:left w:val="single" w:color="auto" w:sz="4" w:space="0"/>
              <w:bottom w:val="single" w:color="auto" w:sz="4" w:space="0"/>
            </w:tcBorders>
            <w:shd w:val="clear" w:color="000000" w:fill="FFFFFF"/>
            <w:noWrap/>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default" w:ascii="仿宋" w:hAnsi="仿宋" w:eastAsia="仿宋" w:cs="宋体"/>
                <w:color w:val="auto"/>
                <w:kern w:val="0"/>
                <w:sz w:val="30"/>
                <w:szCs w:val="30"/>
              </w:rPr>
              <w:t>450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43" w:type="dxa"/>
            <w:vMerge w:val="continue"/>
            <w:tcBorders>
              <w:top w:val="single" w:color="auto" w:sz="4" w:space="0"/>
              <w:bottom w:val="single" w:color="auto" w:sz="18"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2693"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空箱</w:t>
            </w:r>
          </w:p>
        </w:tc>
        <w:tc>
          <w:tcPr>
            <w:tcW w:w="2146"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707</w:t>
            </w:r>
          </w:p>
        </w:tc>
        <w:tc>
          <w:tcPr>
            <w:tcW w:w="1984"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277.28</w:t>
            </w:r>
          </w:p>
        </w:tc>
        <w:tc>
          <w:tcPr>
            <w:tcW w:w="1931" w:type="dxa"/>
            <w:tcBorders>
              <w:top w:val="single" w:color="auto" w:sz="4" w:space="0"/>
              <w:left w:val="single" w:color="auto" w:sz="4" w:space="0"/>
              <w:bottom w:val="single" w:color="auto" w:sz="18" w:space="0"/>
            </w:tcBorders>
            <w:shd w:val="clear" w:color="000000" w:fill="FFFFFF"/>
            <w:noWrap/>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default" w:ascii="仿宋" w:hAnsi="仿宋" w:eastAsia="仿宋" w:cs="宋体"/>
                <w:color w:val="auto"/>
                <w:kern w:val="0"/>
                <w:sz w:val="30"/>
                <w:szCs w:val="30"/>
              </w:rPr>
              <w:t>288</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815" w:hRule="atLeast"/>
          <w:jc w:val="center"/>
        </w:trPr>
        <w:tc>
          <w:tcPr>
            <w:tcW w:w="10597" w:type="dxa"/>
            <w:gridSpan w:val="5"/>
            <w:tcBorders>
              <w:top w:val="single" w:color="auto" w:sz="18" w:space="0"/>
              <w:tl2br w:val="nil"/>
              <w:tr2bl w:val="nil"/>
            </w:tcBorders>
            <w:shd w:val="clear" w:color="000000" w:fill="FFFFFF"/>
          </w:tcPr>
          <w:p>
            <w:pPr>
              <w:keepNext w:val="0"/>
              <w:keepLines w:val="0"/>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说明：</w:t>
            </w:r>
          </w:p>
          <w:p>
            <w:pPr>
              <w:pStyle w:val="13"/>
              <w:keepNext w:val="0"/>
              <w:keepLines w:val="0"/>
              <w:numPr>
                <w:ilvl w:val="0"/>
                <w:numId w:val="1"/>
              </w:numPr>
              <w:suppressLineNumbers w:val="0"/>
              <w:spacing w:before="0" w:beforeAutospacing="0" w:after="0" w:afterAutospacing="0"/>
              <w:ind w:right="0" w:firstLineChars="0"/>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集卡</w:t>
            </w:r>
            <w:r>
              <w:rPr>
                <w:rFonts w:hint="default" w:ascii="Courier New" w:hAnsi="Courier New" w:eastAsia="仿宋" w:cs="Courier New"/>
                <w:color w:val="auto"/>
                <w:kern w:val="0"/>
                <w:sz w:val="30"/>
                <w:szCs w:val="30"/>
              </w:rPr>
              <w:t>↔</w:t>
            </w:r>
            <w:r>
              <w:rPr>
                <w:rFonts w:hint="eastAsia" w:ascii="仿宋" w:hAnsi="仿宋" w:eastAsia="仿宋" w:cs="宋体"/>
                <w:color w:val="auto"/>
                <w:kern w:val="0"/>
                <w:sz w:val="30"/>
                <w:szCs w:val="30"/>
              </w:rPr>
              <w:t>场</w:t>
            </w:r>
            <w:r>
              <w:rPr>
                <w:rFonts w:hint="default" w:ascii="Courier New" w:hAnsi="Courier New" w:eastAsia="仿宋" w:cs="Courier New"/>
                <w:color w:val="auto"/>
                <w:kern w:val="0"/>
                <w:sz w:val="30"/>
                <w:szCs w:val="30"/>
              </w:rPr>
              <w:t>↔</w:t>
            </w:r>
            <w:r>
              <w:rPr>
                <w:rFonts w:hint="eastAsia" w:ascii="仿宋" w:hAnsi="仿宋" w:eastAsia="仿宋" w:cs="宋体"/>
                <w:color w:val="auto"/>
                <w:kern w:val="0"/>
                <w:sz w:val="30"/>
                <w:szCs w:val="30"/>
              </w:rPr>
              <w:t>船舶（装/卸船）向船方计收港口作业包干费，作业过程包括</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（1）进口重箱的包干范围：</w:t>
            </w:r>
            <w:r>
              <w:rPr>
                <w:rFonts w:hint="eastAsia" w:ascii="仿宋" w:hAnsi="仿宋" w:eastAsia="仿宋"/>
                <w:color w:val="auto"/>
                <w:sz w:val="28"/>
                <w:szCs w:val="28"/>
              </w:rPr>
              <w:t>将重箱从船上卸到堆场</w:t>
            </w:r>
            <w:r>
              <w:rPr>
                <w:rFonts w:hint="eastAsia" w:ascii="仿宋" w:hAnsi="仿宋" w:eastAsia="仿宋" w:cs="宋体"/>
                <w:color w:val="auto"/>
                <w:kern w:val="0"/>
                <w:sz w:val="30"/>
                <w:szCs w:val="30"/>
              </w:rPr>
              <w:t>；</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（2）出口重箱的包干范围：将重箱从集卡卸到堆场并装船；</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（3）进口空箱的包干范围：将空箱从船上卸到堆场；</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（4）出口空箱的包干范围：将空箱从集卡卸到堆场并装船；</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（5）箱体检验、重箱过磅以及编制有关单证。</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lang w:eastAsia="zh-CN"/>
              </w:rPr>
              <w:t>（6）水水中转箱包干范围：自一程船卸船，至二程船装船。</w:t>
            </w:r>
          </w:p>
          <w:p>
            <w:pPr>
              <w:keepNext w:val="0"/>
              <w:keepLines w:val="0"/>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2.船舶</w:t>
            </w:r>
            <w:r>
              <w:rPr>
                <w:rFonts w:hint="default" w:ascii="Courier New" w:hAnsi="Courier New" w:eastAsia="仿宋" w:cs="Courier New"/>
                <w:color w:val="auto"/>
                <w:kern w:val="0"/>
                <w:sz w:val="30"/>
                <w:szCs w:val="30"/>
              </w:rPr>
              <w:t>↔</w:t>
            </w:r>
            <w:r>
              <w:rPr>
                <w:rFonts w:hint="eastAsia" w:ascii="仿宋" w:hAnsi="仿宋" w:eastAsia="仿宋" w:cs="宋体"/>
                <w:color w:val="auto"/>
                <w:kern w:val="0"/>
                <w:sz w:val="30"/>
                <w:szCs w:val="30"/>
              </w:rPr>
              <w:t>场</w:t>
            </w:r>
            <w:r>
              <w:rPr>
                <w:rFonts w:hint="default" w:ascii="Courier New" w:hAnsi="Courier New" w:eastAsia="仿宋" w:cs="Courier New"/>
                <w:color w:val="auto"/>
                <w:kern w:val="0"/>
                <w:sz w:val="30"/>
                <w:szCs w:val="30"/>
              </w:rPr>
              <w:t>↔</w:t>
            </w:r>
            <w:r>
              <w:rPr>
                <w:rFonts w:hint="eastAsia" w:ascii="仿宋" w:hAnsi="仿宋" w:eastAsia="仿宋" w:cs="宋体"/>
                <w:color w:val="auto"/>
                <w:kern w:val="0"/>
                <w:sz w:val="30"/>
                <w:szCs w:val="30"/>
              </w:rPr>
              <w:t>船舶水水中转分别按进港航次和出港航次各50%计收，另行约定</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除外。</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3.</w:t>
            </w:r>
            <w:r>
              <w:rPr>
                <w:rFonts w:hint="eastAsia" w:ascii="仿宋" w:hAnsi="仿宋" w:eastAsia="仿宋" w:cs="宋体"/>
                <w:color w:val="auto"/>
                <w:kern w:val="0"/>
                <w:sz w:val="30"/>
                <w:szCs w:val="30"/>
              </w:rPr>
              <w:t>集装箱在船上或船舶与码头之间的翻装作业向船方计收港口作业包干费。</w:t>
            </w:r>
            <w:r>
              <w:rPr>
                <w:rFonts w:hint="eastAsia" w:ascii="仿宋" w:hAnsi="仿宋" w:eastAsia="仿宋" w:cs="宋体"/>
                <w:color w:val="auto"/>
                <w:kern w:val="0"/>
                <w:sz w:val="30"/>
                <w:szCs w:val="30"/>
                <w:lang w:val="en-US" w:eastAsia="zh-CN"/>
              </w:rPr>
              <w:t>内贸航线按</w:t>
            </w:r>
            <w:r>
              <w:rPr>
                <w:rFonts w:hint="eastAsia" w:ascii="仿宋" w:hAnsi="仿宋" w:eastAsia="仿宋" w:cs="宋体"/>
                <w:color w:val="auto"/>
                <w:kern w:val="0"/>
                <w:sz w:val="30"/>
                <w:szCs w:val="30"/>
              </w:rPr>
              <w:t>20英尺、40英尺集装箱(普通重箱、空箱)分别向申请人计收100元、150</w:t>
            </w:r>
            <w:r>
              <w:rPr>
                <w:rFonts w:hint="eastAsia" w:ascii="仿宋" w:hAnsi="仿宋" w:eastAsia="仿宋" w:cs="宋体"/>
                <w:color w:val="auto"/>
                <w:kern w:val="0"/>
                <w:sz w:val="30"/>
                <w:szCs w:val="30"/>
                <w:lang w:val="en-US" w:eastAsia="zh-CN"/>
              </w:rPr>
              <w:t>元。外贸航线翻装靠泊前提前6小时提出申请，按297元/20英尺，445.8元/40英尺计收，翻装作业靠泊前6小时内提出申请，按348.48元/20英尺，523.07元/40英尺计收。</w:t>
            </w:r>
          </w:p>
          <w:p>
            <w:pPr>
              <w:keepNext w:val="0"/>
              <w:keepLines w:val="0"/>
              <w:numPr>
                <w:ilvl w:val="0"/>
                <w:numId w:val="0"/>
              </w:numPr>
              <w:suppressLineNumbers w:val="0"/>
              <w:spacing w:before="0" w:beforeAutospacing="0" w:after="0" w:afterAutospacing="0"/>
              <w:ind w:left="0" w:leftChars="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lang w:val="en-US" w:eastAsia="zh-CN"/>
              </w:rPr>
              <w:t>4.30英尺以下的集装箱按20英尺计收，30英尺及以上且未及40英尺的集装箱按40英尺计收，</w:t>
            </w:r>
            <w:r>
              <w:rPr>
                <w:rFonts w:hint="eastAsia" w:ascii="仿宋" w:hAnsi="仿宋" w:eastAsia="仿宋" w:cs="宋体"/>
                <w:color w:val="auto"/>
                <w:kern w:val="0"/>
                <w:sz w:val="30"/>
                <w:szCs w:val="30"/>
              </w:rPr>
              <w:t>45英尺及以上集装箱按40英尺集装箱费率加收50%。</w:t>
            </w:r>
          </w:p>
          <w:p>
            <w:pPr>
              <w:keepNext w:val="0"/>
              <w:keepLines w:val="0"/>
              <w:widowControl/>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5.总重超32.5吨但未超箱体最高限重的集装箱按相应箱型加收100%；超限箱、非标准箱超限部分宽度左右各不超过（含）50厘米，或长度前后各不超过（含）50厘米，或高度不超过（含）120厘米的按相应箱型加收100%，超过范围之一的按相应箱型加收200%。非标准集装箱是指尺寸与标准箱不同的集装箱、变形箱和超限箱，但长宽与标准箱相同的高箱、不调换装卸索具的开顶箱及四周不超限的框架箱，按相应箱型标准箱计费。</w:t>
            </w:r>
          </w:p>
          <w:p>
            <w:pPr>
              <w:keepNext w:val="0"/>
              <w:keepLines w:val="0"/>
              <w:widowControl/>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6.冷藏重箱、冷藏空箱按相应箱型加收10%。普通危险品、冷藏危险品集装箱按相应箱型加收100%。</w:t>
            </w:r>
          </w:p>
          <w:p>
            <w:pPr>
              <w:keepNext w:val="0"/>
              <w:keepLines w:val="0"/>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7.多用途船按以上费率的1.5</w:t>
            </w:r>
            <w:r>
              <w:rPr>
                <w:rFonts w:hint="eastAsia" w:ascii="仿宋" w:hAnsi="仿宋" w:eastAsia="仿宋" w:cs="宋体"/>
                <w:color w:val="auto"/>
                <w:kern w:val="0"/>
                <w:sz w:val="30"/>
                <w:szCs w:val="30"/>
                <w:lang w:val="en-US" w:eastAsia="zh-CN"/>
              </w:rPr>
              <w:t>倍</w:t>
            </w:r>
            <w:r>
              <w:rPr>
                <w:rFonts w:hint="eastAsia" w:ascii="仿宋" w:hAnsi="仿宋" w:eastAsia="仿宋" w:cs="宋体"/>
                <w:color w:val="auto"/>
                <w:kern w:val="0"/>
                <w:sz w:val="30"/>
                <w:szCs w:val="30"/>
              </w:rPr>
              <w:t>计收。</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97" w:type="dxa"/>
            <w:gridSpan w:val="5"/>
            <w:tcBorders>
              <w:tl2br w:val="nil"/>
              <w:tr2bl w:val="nil"/>
            </w:tcBorders>
            <w:shd w:val="clear" w:color="000000" w:fill="FFFFFF"/>
          </w:tcPr>
          <w:p>
            <w:pPr>
              <w:keepNext w:val="0"/>
              <w:keepLines w:val="0"/>
              <w:suppressLineNumbers w:val="0"/>
              <w:spacing w:before="0" w:beforeAutospacing="0" w:after="0" w:afterAutospacing="0"/>
              <w:ind w:left="0" w:right="0"/>
              <w:rPr>
                <w:rFonts w:hint="default" w:ascii="仿宋" w:hAnsi="仿宋" w:eastAsia="仿宋" w:cs="宋体"/>
                <w:color w:val="auto"/>
                <w:kern w:val="0"/>
                <w:sz w:val="30"/>
                <w:szCs w:val="30"/>
              </w:rPr>
            </w:pPr>
          </w:p>
        </w:tc>
      </w:tr>
    </w:tbl>
    <w:p>
      <w:pPr>
        <w:widowControl/>
        <w:jc w:val="left"/>
        <w:rPr>
          <w:rFonts w:ascii="仿宋" w:hAnsi="仿宋" w:eastAsia="仿宋"/>
          <w:color w:val="auto"/>
          <w:sz w:val="30"/>
          <w:szCs w:val="30"/>
        </w:rPr>
      </w:pPr>
      <w:r>
        <w:rPr>
          <w:rFonts w:ascii="仿宋" w:hAnsi="仿宋" w:eastAsia="仿宋"/>
          <w:color w:val="auto"/>
          <w:sz w:val="30"/>
          <w:szCs w:val="30"/>
        </w:rPr>
        <w:br w:type="page"/>
      </w:r>
    </w:p>
    <w:p>
      <w:pPr>
        <w:rPr>
          <w:rFonts w:ascii="仿宋" w:hAnsi="仿宋" w:eastAsia="仿宋"/>
          <w:color w:val="auto"/>
          <w:sz w:val="30"/>
          <w:szCs w:val="30"/>
        </w:rPr>
      </w:pPr>
      <w:r>
        <w:rPr>
          <w:rFonts w:hint="eastAsia" w:ascii="仿宋" w:hAnsi="仿宋" w:eastAsia="仿宋"/>
          <w:color w:val="auto"/>
          <w:sz w:val="30"/>
          <w:szCs w:val="30"/>
        </w:rPr>
        <w:t>（二</w:t>
      </w:r>
      <w:r>
        <w:rPr>
          <w:rFonts w:ascii="仿宋" w:hAnsi="仿宋" w:eastAsia="仿宋"/>
          <w:color w:val="auto"/>
          <w:sz w:val="30"/>
          <w:szCs w:val="30"/>
        </w:rPr>
        <w:t>）</w:t>
      </w:r>
      <w:r>
        <w:rPr>
          <w:rFonts w:hint="eastAsia" w:ascii="仿宋" w:hAnsi="仿宋" w:eastAsia="仿宋"/>
          <w:color w:val="auto"/>
          <w:sz w:val="30"/>
          <w:szCs w:val="30"/>
        </w:rPr>
        <w:t>1.</w:t>
      </w:r>
      <w:r>
        <w:rPr>
          <w:rFonts w:hint="eastAsia" w:ascii="仿宋" w:hAnsi="仿宋" w:eastAsia="仿宋" w:cs="仿宋"/>
          <w:color w:val="auto"/>
          <w:sz w:val="30"/>
          <w:szCs w:val="30"/>
        </w:rPr>
        <w:t>场内作业（单位：元/箱</w:t>
      </w:r>
      <w:r>
        <w:rPr>
          <w:rFonts w:hint="eastAsia" w:ascii="仿宋" w:hAnsi="仿宋" w:eastAsia="仿宋" w:cs="仿宋"/>
          <w:b w:val="0"/>
          <w:bCs w:val="0"/>
          <w:color w:val="auto"/>
          <w:sz w:val="30"/>
          <w:szCs w:val="30"/>
        </w:rPr>
        <w:t>·</w:t>
      </w:r>
      <w:r>
        <w:rPr>
          <w:rFonts w:hint="eastAsia" w:ascii="仿宋" w:hAnsi="仿宋" w:eastAsia="仿宋" w:cs="仿宋"/>
          <w:color w:val="auto"/>
          <w:sz w:val="30"/>
          <w:szCs w:val="30"/>
        </w:rPr>
        <w:t>次）</w:t>
      </w:r>
    </w:p>
    <w:tbl>
      <w:tblPr>
        <w:tblStyle w:val="5"/>
        <w:tblW w:w="9607"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autofit"/>
        <w:tblCellMar>
          <w:top w:w="0" w:type="dxa"/>
          <w:left w:w="108" w:type="dxa"/>
          <w:bottom w:w="0" w:type="dxa"/>
          <w:right w:w="108" w:type="dxa"/>
        </w:tblCellMar>
      </w:tblPr>
      <w:tblGrid>
        <w:gridCol w:w="1746"/>
        <w:gridCol w:w="1932"/>
        <w:gridCol w:w="1818"/>
        <w:gridCol w:w="1984"/>
        <w:gridCol w:w="2127"/>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229" w:hRule="atLeast"/>
          <w:jc w:val="center"/>
        </w:trPr>
        <w:tc>
          <w:tcPr>
            <w:tcW w:w="1746" w:type="dxa"/>
            <w:tcBorders>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服务作业内容</w:t>
            </w:r>
          </w:p>
        </w:tc>
        <w:tc>
          <w:tcPr>
            <w:tcW w:w="1932" w:type="dxa"/>
            <w:tcBorders>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付费人</w:t>
            </w:r>
          </w:p>
        </w:tc>
        <w:tc>
          <w:tcPr>
            <w:tcW w:w="1818" w:type="dxa"/>
            <w:tcBorders>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箱型</w:t>
            </w:r>
          </w:p>
        </w:tc>
        <w:tc>
          <w:tcPr>
            <w:tcW w:w="4111" w:type="dxa"/>
            <w:gridSpan w:val="2"/>
            <w:tcBorders>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收费标准</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382" w:hRule="atLeast"/>
          <w:jc w:val="center"/>
        </w:trPr>
        <w:tc>
          <w:tcPr>
            <w:tcW w:w="1746" w:type="dxa"/>
            <w:vMerge w:val="restart"/>
            <w:tcBorders>
              <w:top w:val="single" w:color="auto" w:sz="4" w:space="0"/>
              <w:bottom w:val="single" w:color="auto" w:sz="4" w:space="0"/>
              <w:right w:val="single" w:color="auto" w:sz="4" w:space="0"/>
            </w:tcBorders>
            <w:shd w:val="clear" w:color="000000" w:fill="FFFFFF"/>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上下车、搬移</w:t>
            </w:r>
          </w:p>
        </w:tc>
        <w:tc>
          <w:tcPr>
            <w:tcW w:w="193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（船方或货方）</w:t>
            </w:r>
          </w:p>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p>
        </w:tc>
        <w:tc>
          <w:tcPr>
            <w:tcW w:w="181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普通重箱</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20英尺</w:t>
            </w:r>
          </w:p>
        </w:tc>
        <w:tc>
          <w:tcPr>
            <w:tcW w:w="2127" w:type="dxa"/>
            <w:tcBorders>
              <w:top w:val="single" w:color="auto" w:sz="4" w:space="0"/>
              <w:left w:val="single" w:color="auto" w:sz="4" w:space="0"/>
              <w:bottom w:val="single" w:color="auto" w:sz="4" w:space="0"/>
            </w:tcBorders>
            <w:shd w:val="clear" w:color="000000" w:fill="FFFFFF"/>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99</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746" w:type="dxa"/>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93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p>
        </w:tc>
        <w:tc>
          <w:tcPr>
            <w:tcW w:w="181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40英尺</w:t>
            </w:r>
          </w:p>
        </w:tc>
        <w:tc>
          <w:tcPr>
            <w:tcW w:w="2127"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148.6</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746" w:type="dxa"/>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93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p>
        </w:tc>
        <w:tc>
          <w:tcPr>
            <w:tcW w:w="181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空箱</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20英尺</w:t>
            </w:r>
          </w:p>
        </w:tc>
        <w:tc>
          <w:tcPr>
            <w:tcW w:w="2127"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49.5</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544" w:hRule="atLeast"/>
          <w:jc w:val="center"/>
        </w:trPr>
        <w:tc>
          <w:tcPr>
            <w:tcW w:w="1746" w:type="dxa"/>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93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p>
        </w:tc>
        <w:tc>
          <w:tcPr>
            <w:tcW w:w="181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40英尺</w:t>
            </w:r>
          </w:p>
        </w:tc>
        <w:tc>
          <w:tcPr>
            <w:tcW w:w="2127"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74.3</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93" w:hRule="atLeast"/>
          <w:jc w:val="center"/>
        </w:trPr>
        <w:tc>
          <w:tcPr>
            <w:tcW w:w="1746" w:type="dxa"/>
            <w:vMerge w:val="restart"/>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lang w:val="en-US" w:eastAsia="zh-CN"/>
              </w:rPr>
            </w:pPr>
            <w:r>
              <w:rPr>
                <w:rFonts w:hint="eastAsia" w:ascii="仿宋" w:hAnsi="仿宋" w:eastAsia="仿宋" w:cs="宋体"/>
                <w:color w:val="auto"/>
                <w:kern w:val="0"/>
                <w:sz w:val="30"/>
                <w:szCs w:val="30"/>
              </w:rPr>
              <w:t>过磅</w:t>
            </w:r>
            <w:r>
              <w:rPr>
                <w:rFonts w:hint="eastAsia" w:ascii="仿宋" w:hAnsi="仿宋" w:eastAsia="仿宋" w:cs="宋体"/>
                <w:color w:val="auto"/>
                <w:kern w:val="0"/>
                <w:sz w:val="30"/>
                <w:szCs w:val="30"/>
                <w:lang w:val="en-US" w:eastAsia="zh-CN"/>
              </w:rPr>
              <w:t>(</w:t>
            </w:r>
            <w:r>
              <w:rPr>
                <w:rFonts w:hint="eastAsia" w:ascii="仿宋" w:hAnsi="仿宋" w:eastAsia="仿宋" w:cs="宋体"/>
                <w:color w:val="auto"/>
                <w:kern w:val="0"/>
                <w:sz w:val="30"/>
                <w:szCs w:val="30"/>
              </w:rPr>
              <w:t>客户提出申请发生的过磅作业</w:t>
            </w:r>
            <w:r>
              <w:rPr>
                <w:rFonts w:hint="eastAsia" w:ascii="仿宋" w:hAnsi="仿宋" w:eastAsia="仿宋" w:cs="宋体"/>
                <w:color w:val="auto"/>
                <w:kern w:val="0"/>
                <w:sz w:val="30"/>
                <w:szCs w:val="30"/>
                <w:lang w:val="en-US" w:eastAsia="zh-CN"/>
              </w:rPr>
              <w:t>)</w:t>
            </w:r>
          </w:p>
        </w:tc>
        <w:tc>
          <w:tcPr>
            <w:tcW w:w="193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（船方或货方）</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p>
        </w:tc>
        <w:tc>
          <w:tcPr>
            <w:tcW w:w="1818"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普通重箱</w:t>
            </w:r>
          </w:p>
        </w:tc>
        <w:tc>
          <w:tcPr>
            <w:tcW w:w="198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20英尺</w:t>
            </w:r>
          </w:p>
        </w:tc>
        <w:tc>
          <w:tcPr>
            <w:tcW w:w="2127"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50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999" w:hRule="atLeast"/>
          <w:jc w:val="center"/>
        </w:trPr>
        <w:tc>
          <w:tcPr>
            <w:tcW w:w="1746" w:type="dxa"/>
            <w:vMerge w:val="continue"/>
            <w:tcBorders>
              <w:top w:val="single" w:color="auto" w:sz="4" w:space="0"/>
              <w:bottom w:val="single" w:color="auto" w:sz="18"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rPr>
            </w:pPr>
          </w:p>
        </w:tc>
        <w:tc>
          <w:tcPr>
            <w:tcW w:w="1932" w:type="dxa"/>
            <w:vMerge w:val="continue"/>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p>
        </w:tc>
        <w:tc>
          <w:tcPr>
            <w:tcW w:w="1818" w:type="dxa"/>
            <w:vMerge w:val="continue"/>
            <w:tcBorders>
              <w:top w:val="single" w:color="auto" w:sz="4" w:space="0"/>
              <w:left w:val="single" w:color="auto" w:sz="4" w:space="0"/>
              <w:bottom w:val="single" w:color="auto" w:sz="18"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rPr>
            </w:pPr>
          </w:p>
        </w:tc>
        <w:tc>
          <w:tcPr>
            <w:tcW w:w="1984"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40英尺</w:t>
            </w:r>
          </w:p>
        </w:tc>
        <w:tc>
          <w:tcPr>
            <w:tcW w:w="2127" w:type="dxa"/>
            <w:tcBorders>
              <w:top w:val="single" w:color="auto" w:sz="4" w:space="0"/>
              <w:left w:val="single" w:color="auto" w:sz="4" w:space="0"/>
              <w:bottom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50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07" w:type="dxa"/>
            <w:gridSpan w:val="5"/>
            <w:tcBorders>
              <w:top w:val="single" w:color="auto" w:sz="18" w:space="0"/>
              <w:tl2br w:val="nil"/>
              <w:tr2bl w:val="nil"/>
            </w:tcBorders>
            <w:shd w:val="clear" w:color="000000" w:fill="FFFFFF"/>
            <w:vAlign w:val="center"/>
          </w:tcPr>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说明：</w:t>
            </w:r>
          </w:p>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1. 重箱上下车、搬移服务是指根据作业委托人申请或实际操作需求向船方或货方计收港口作业包干费。每申请1次（单次不论申请几种搬移作业）计收1次，同一集装箱进出港、同一付费人在同一船名航次内以实际发生先后</w:t>
            </w:r>
            <w:r>
              <w:rPr>
                <w:rFonts w:hint="eastAsia" w:ascii="仿宋" w:hAnsi="仿宋" w:eastAsia="仿宋" w:cs="宋体"/>
                <w:color w:val="auto"/>
                <w:kern w:val="0"/>
                <w:sz w:val="30"/>
                <w:szCs w:val="30"/>
                <w:lang w:val="en-US" w:eastAsia="zh-CN"/>
              </w:rPr>
              <w:t>次序最高</w:t>
            </w:r>
            <w:r>
              <w:rPr>
                <w:rFonts w:hint="eastAsia" w:ascii="仿宋" w:hAnsi="仿宋" w:eastAsia="仿宋" w:cs="宋体"/>
                <w:color w:val="auto"/>
                <w:kern w:val="0"/>
                <w:sz w:val="30"/>
                <w:szCs w:val="30"/>
              </w:rPr>
              <w:t>按</w:t>
            </w:r>
            <w:r>
              <w:rPr>
                <w:rFonts w:hint="eastAsia" w:ascii="仿宋" w:hAnsi="仿宋" w:eastAsia="仿宋" w:cs="宋体"/>
                <w:color w:val="auto"/>
                <w:kern w:val="0"/>
                <w:sz w:val="30"/>
                <w:szCs w:val="30"/>
                <w:lang w:val="en-US" w:eastAsia="zh-CN"/>
              </w:rPr>
              <w:t>3次</w:t>
            </w:r>
            <w:r>
              <w:rPr>
                <w:rFonts w:hint="eastAsia" w:ascii="仿宋" w:hAnsi="仿宋" w:eastAsia="仿宋" w:cs="宋体"/>
                <w:color w:val="auto"/>
                <w:kern w:val="0"/>
                <w:sz w:val="30"/>
                <w:szCs w:val="30"/>
              </w:rPr>
              <w:t>收费标准计收。</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60" w:leftChars="0" w:right="0" w:hanging="360" w:firstLineChars="0"/>
              <w:jc w:val="left"/>
              <w:textAlignment w:val="auto"/>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空箱汽车装卸、搬移服务是指在装/卸船作业过程以外发生的汽车装卸、搬移作业计收港口作业包干费，实际发生先后</w:t>
            </w:r>
            <w:r>
              <w:rPr>
                <w:rFonts w:hint="eastAsia" w:ascii="仿宋" w:hAnsi="仿宋" w:eastAsia="仿宋" w:cs="宋体"/>
                <w:color w:val="auto"/>
                <w:kern w:val="0"/>
                <w:sz w:val="30"/>
                <w:szCs w:val="30"/>
                <w:lang w:val="en-US" w:eastAsia="zh-CN"/>
              </w:rPr>
              <w:t>次序最高</w:t>
            </w:r>
            <w:r>
              <w:rPr>
                <w:rFonts w:hint="eastAsia" w:ascii="仿宋" w:hAnsi="仿宋" w:eastAsia="仿宋" w:cs="宋体"/>
                <w:color w:val="auto"/>
                <w:kern w:val="0"/>
                <w:sz w:val="30"/>
                <w:szCs w:val="30"/>
              </w:rPr>
              <w:t>按</w:t>
            </w:r>
            <w:r>
              <w:rPr>
                <w:rFonts w:hint="eastAsia" w:ascii="仿宋" w:hAnsi="仿宋" w:eastAsia="仿宋" w:cs="宋体"/>
                <w:color w:val="auto"/>
                <w:kern w:val="0"/>
                <w:sz w:val="30"/>
                <w:szCs w:val="30"/>
                <w:lang w:val="en-US" w:eastAsia="zh-CN"/>
              </w:rPr>
              <w:t>3次</w:t>
            </w:r>
            <w:r>
              <w:rPr>
                <w:rFonts w:hint="eastAsia" w:ascii="仿宋" w:hAnsi="仿宋" w:eastAsia="仿宋" w:cs="宋体"/>
                <w:color w:val="auto"/>
                <w:kern w:val="0"/>
                <w:sz w:val="30"/>
                <w:szCs w:val="30"/>
              </w:rPr>
              <w:t>收费标准计收</w:t>
            </w:r>
            <w:r>
              <w:rPr>
                <w:rFonts w:hint="eastAsia" w:ascii="仿宋" w:hAnsi="仿宋" w:eastAsia="仿宋" w:cs="宋体"/>
                <w:color w:val="auto"/>
                <w:kern w:val="0"/>
                <w:sz w:val="30"/>
                <w:szCs w:val="30"/>
                <w:lang w:eastAsia="zh-CN"/>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60" w:leftChars="0" w:right="0" w:hanging="360" w:firstLineChars="0"/>
              <w:jc w:val="left"/>
              <w:textAlignment w:val="auto"/>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外贸进口本地空箱在装卸船作业的基础上另行向船方计收一次集装箱上车作业费用</w:t>
            </w:r>
            <w:r>
              <w:rPr>
                <w:rFonts w:hint="eastAsia" w:ascii="仿宋" w:hAnsi="仿宋" w:eastAsia="仿宋" w:cs="宋体"/>
                <w:color w:val="auto"/>
                <w:kern w:val="0"/>
                <w:sz w:val="30"/>
                <w:szCs w:val="30"/>
                <w:lang w:eastAsia="zh-CN"/>
              </w:rPr>
              <w:t>；</w:t>
            </w:r>
            <w:r>
              <w:rPr>
                <w:rFonts w:hint="eastAsia" w:ascii="仿宋" w:hAnsi="仿宋" w:eastAsia="仿宋" w:cs="宋体"/>
                <w:color w:val="auto"/>
                <w:kern w:val="0"/>
                <w:sz w:val="30"/>
                <w:szCs w:val="30"/>
                <w:lang w:val="en-US" w:eastAsia="zh-CN"/>
              </w:rPr>
              <w:t>提取外贸空箱时，另行向提货人计收一次集装箱上车作业费用。</w:t>
            </w:r>
          </w:p>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rPr>
            </w:pPr>
            <w:r>
              <w:rPr>
                <w:rFonts w:hint="default" w:ascii="仿宋" w:hAnsi="仿宋" w:eastAsia="仿宋" w:cs="宋体"/>
                <w:color w:val="auto"/>
                <w:kern w:val="0"/>
                <w:sz w:val="30"/>
                <w:szCs w:val="30"/>
              </w:rPr>
              <w:t>4</w:t>
            </w:r>
            <w:r>
              <w:rPr>
                <w:rFonts w:hint="eastAsia" w:ascii="仿宋" w:hAnsi="仿宋" w:eastAsia="仿宋" w:cs="宋体"/>
                <w:color w:val="auto"/>
                <w:kern w:val="0"/>
                <w:sz w:val="30"/>
                <w:szCs w:val="30"/>
              </w:rPr>
              <w:t>.</w:t>
            </w:r>
            <w:r>
              <w:rPr>
                <w:rFonts w:hint="eastAsia" w:ascii="仿宋" w:hAnsi="仿宋" w:eastAsia="仿宋" w:cs="宋体"/>
                <w:color w:val="auto"/>
                <w:kern w:val="0"/>
                <w:sz w:val="30"/>
                <w:szCs w:val="30"/>
                <w:lang w:val="en-US" w:eastAsia="zh-CN"/>
              </w:rPr>
              <w:t>30英尺以下的集装箱按20英尺计收，30英尺及以上且未及40英尺的集装箱按40英尺计收，</w:t>
            </w:r>
            <w:r>
              <w:rPr>
                <w:rFonts w:hint="eastAsia" w:ascii="仿宋" w:hAnsi="仿宋" w:eastAsia="仿宋" w:cs="宋体"/>
                <w:color w:val="auto"/>
                <w:kern w:val="0"/>
                <w:sz w:val="30"/>
                <w:szCs w:val="30"/>
              </w:rPr>
              <w:t>45英尺及以上集装箱按40英尺集装箱费率加收50%。</w:t>
            </w:r>
          </w:p>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default" w:ascii="仿宋" w:hAnsi="仿宋" w:eastAsia="仿宋" w:cs="宋体"/>
                <w:color w:val="auto"/>
                <w:kern w:val="0"/>
                <w:sz w:val="30"/>
                <w:szCs w:val="30"/>
              </w:rPr>
              <w:t>5</w:t>
            </w:r>
            <w:r>
              <w:rPr>
                <w:rFonts w:hint="eastAsia" w:ascii="仿宋" w:hAnsi="仿宋" w:eastAsia="仿宋" w:cs="宋体"/>
                <w:color w:val="auto"/>
                <w:kern w:val="0"/>
                <w:sz w:val="30"/>
                <w:szCs w:val="30"/>
              </w:rPr>
              <w:t>.总重超32.5吨但未超箱体最高限重的集装箱按相应箱型加收100%；超限箱、非标准箱超限部分宽度左右各不超过（含）50厘米，或长度前后各不超过（含）50厘米，或高度不超过（含）120厘米的按相应箱型加收100%，超过范围之一的按相应箱型加收200%。非标准集装箱是指尺寸与标准箱不同的集装箱、变形箱和超限箱，但长宽与标准箱相同的高箱、不调换装卸索具的开顶箱及四周不超限的框架箱，按相应箱型标准箱计费。</w:t>
            </w:r>
          </w:p>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rPr>
            </w:pPr>
            <w:r>
              <w:rPr>
                <w:rFonts w:hint="default" w:ascii="仿宋" w:hAnsi="仿宋" w:eastAsia="仿宋" w:cs="宋体"/>
                <w:color w:val="auto"/>
                <w:kern w:val="0"/>
                <w:sz w:val="30"/>
                <w:szCs w:val="30"/>
              </w:rPr>
              <w:t>6</w:t>
            </w:r>
            <w:r>
              <w:rPr>
                <w:rFonts w:hint="eastAsia" w:ascii="仿宋" w:hAnsi="仿宋" w:eastAsia="仿宋" w:cs="宋体"/>
                <w:color w:val="auto"/>
                <w:kern w:val="0"/>
                <w:sz w:val="30"/>
                <w:szCs w:val="30"/>
              </w:rPr>
              <w:t>.冷藏重箱、冷藏空箱按相应箱型加收10%。普通危险品、冷藏危险品集装箱按相应箱型加收100%。</w:t>
            </w:r>
          </w:p>
        </w:tc>
      </w:tr>
    </w:tbl>
    <w:p>
      <w:pPr>
        <w:rPr>
          <w:rFonts w:ascii="仿宋" w:hAnsi="仿宋" w:eastAsia="仿宋"/>
          <w:color w:val="auto"/>
          <w:sz w:val="30"/>
          <w:szCs w:val="30"/>
        </w:rPr>
      </w:pPr>
      <w:r>
        <w:rPr>
          <w:rFonts w:hint="eastAsia" w:ascii="仿宋" w:hAnsi="仿宋" w:eastAsia="仿宋"/>
          <w:color w:val="auto"/>
          <w:sz w:val="30"/>
          <w:szCs w:val="30"/>
        </w:rPr>
        <w:t>2.场内作业（单位</w:t>
      </w:r>
      <w:r>
        <w:rPr>
          <w:rFonts w:ascii="仿宋" w:hAnsi="仿宋" w:eastAsia="仿宋"/>
          <w:color w:val="auto"/>
          <w:sz w:val="30"/>
          <w:szCs w:val="30"/>
        </w:rPr>
        <w:t>：元</w:t>
      </w:r>
      <w:r>
        <w:rPr>
          <w:rFonts w:hint="eastAsia" w:ascii="仿宋" w:hAnsi="仿宋" w:eastAsia="仿宋"/>
          <w:color w:val="auto"/>
          <w:sz w:val="30"/>
          <w:szCs w:val="30"/>
        </w:rPr>
        <w:t>/箱·次）</w:t>
      </w:r>
    </w:p>
    <w:tbl>
      <w:tblPr>
        <w:tblStyle w:val="5"/>
        <w:tblW w:w="0" w:type="auto"/>
        <w:tblInd w:w="162" w:type="dxa"/>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4057"/>
        <w:gridCol w:w="709"/>
        <w:gridCol w:w="857"/>
        <w:gridCol w:w="1418"/>
        <w:gridCol w:w="2619"/>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4057" w:type="dxa"/>
            <w:tcBorders>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s="宋体"/>
                <w:color w:val="auto"/>
                <w:kern w:val="0"/>
                <w:sz w:val="30"/>
                <w:szCs w:val="30"/>
              </w:rPr>
              <w:t>服务作业内容</w:t>
            </w:r>
          </w:p>
        </w:tc>
        <w:tc>
          <w:tcPr>
            <w:tcW w:w="709" w:type="dxa"/>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付费人</w:t>
            </w:r>
          </w:p>
        </w:tc>
        <w:tc>
          <w:tcPr>
            <w:tcW w:w="857" w:type="dxa"/>
            <w:tcBorders>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箱型</w:t>
            </w:r>
          </w:p>
        </w:tc>
        <w:tc>
          <w:tcPr>
            <w:tcW w:w="4037" w:type="dxa"/>
            <w:gridSpan w:val="2"/>
            <w:tcBorders>
              <w:left w:val="single" w:color="auto" w:sz="4" w:space="0"/>
              <w:bottom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s="宋体"/>
                <w:color w:val="auto"/>
                <w:kern w:val="0"/>
                <w:sz w:val="30"/>
                <w:szCs w:val="30"/>
              </w:rPr>
              <w:t>收费标准</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4057" w:type="dxa"/>
            <w:vMerge w:val="restart"/>
            <w:tcBorders>
              <w:top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配合水路监管运行项目作业（他港来箱）</w:t>
            </w:r>
          </w:p>
        </w:tc>
        <w:tc>
          <w:tcPr>
            <w:tcW w:w="70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货方</w:t>
            </w:r>
          </w:p>
        </w:tc>
        <w:tc>
          <w:tcPr>
            <w:tcW w:w="85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普通重箱</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20英尺</w:t>
            </w:r>
          </w:p>
        </w:tc>
        <w:tc>
          <w:tcPr>
            <w:tcW w:w="2619" w:type="dxa"/>
            <w:tcBorders>
              <w:top w:val="single" w:color="auto" w:sz="4" w:space="0"/>
              <w:left w:val="single" w:color="auto" w:sz="4" w:space="0"/>
              <w:bottom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100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4057" w:type="dxa"/>
            <w:vMerge w:val="continue"/>
            <w:tcBorders>
              <w:top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p>
        </w:tc>
        <w:tc>
          <w:tcPr>
            <w:tcW w:w="85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40英尺</w:t>
            </w:r>
          </w:p>
        </w:tc>
        <w:tc>
          <w:tcPr>
            <w:tcW w:w="2619" w:type="dxa"/>
            <w:tcBorders>
              <w:top w:val="single" w:color="auto" w:sz="4" w:space="0"/>
              <w:left w:val="single" w:color="auto" w:sz="4" w:space="0"/>
              <w:bottom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285</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4057" w:type="dxa"/>
            <w:vMerge w:val="restart"/>
            <w:tcBorders>
              <w:top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配合水路监管运行项目作业（本港提空还重）</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p>
        </w:tc>
        <w:tc>
          <w:tcPr>
            <w:tcW w:w="85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20英尺</w:t>
            </w:r>
          </w:p>
        </w:tc>
        <w:tc>
          <w:tcPr>
            <w:tcW w:w="2619" w:type="dxa"/>
            <w:tcBorders>
              <w:top w:val="single" w:color="auto" w:sz="4" w:space="0"/>
              <w:left w:val="single" w:color="auto" w:sz="4" w:space="0"/>
              <w:bottom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350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4057" w:type="dxa"/>
            <w:vMerge w:val="continue"/>
            <w:tcBorders>
              <w:top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p>
        </w:tc>
        <w:tc>
          <w:tcPr>
            <w:tcW w:w="85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40英尺</w:t>
            </w:r>
          </w:p>
        </w:tc>
        <w:tc>
          <w:tcPr>
            <w:tcW w:w="2619" w:type="dxa"/>
            <w:tcBorders>
              <w:top w:val="single" w:color="auto" w:sz="4" w:space="0"/>
              <w:left w:val="single" w:color="auto" w:sz="4" w:space="0"/>
              <w:bottom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435</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cantSplit/>
          <w:trHeight w:val="853" w:hRule="atLeast"/>
        </w:trPr>
        <w:tc>
          <w:tcPr>
            <w:tcW w:w="4057" w:type="dxa"/>
            <w:tcBorders>
              <w:top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仿宋" w:hAnsi="仿宋" w:eastAsia="仿宋"/>
                <w:color w:val="auto"/>
                <w:sz w:val="30"/>
                <w:szCs w:val="30"/>
              </w:rPr>
            </w:pPr>
            <w:r>
              <w:rPr>
                <w:rFonts w:hint="eastAsia" w:ascii="仿宋" w:hAnsi="仿宋" w:eastAsia="仿宋"/>
                <w:color w:val="auto"/>
                <w:sz w:val="30"/>
                <w:szCs w:val="30"/>
              </w:rPr>
              <w:t>配合陆路监管运行项目作业</w:t>
            </w:r>
          </w:p>
        </w:tc>
        <w:tc>
          <w:tcPr>
            <w:tcW w:w="709" w:type="dxa"/>
            <w:vMerge w:val="continue"/>
            <w:tcBorders>
              <w:top w:val="single" w:color="auto" w:sz="4" w:space="0"/>
              <w:left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仿宋" w:hAnsi="仿宋" w:eastAsia="仿宋"/>
                <w:color w:val="auto"/>
                <w:sz w:val="30"/>
                <w:szCs w:val="30"/>
              </w:rPr>
            </w:pPr>
          </w:p>
        </w:tc>
        <w:tc>
          <w:tcPr>
            <w:tcW w:w="857" w:type="dxa"/>
            <w:vMerge w:val="continue"/>
            <w:tcBorders>
              <w:top w:val="single" w:color="auto" w:sz="4" w:space="0"/>
              <w:left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仿宋" w:hAnsi="仿宋" w:eastAsia="仿宋"/>
                <w:color w:val="auto"/>
                <w:sz w:val="30"/>
                <w:szCs w:val="30"/>
              </w:rPr>
            </w:pPr>
          </w:p>
        </w:tc>
        <w:tc>
          <w:tcPr>
            <w:tcW w:w="1418"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自然箱</w:t>
            </w:r>
          </w:p>
        </w:tc>
        <w:tc>
          <w:tcPr>
            <w:tcW w:w="2619" w:type="dxa"/>
            <w:tcBorders>
              <w:top w:val="single" w:color="auto" w:sz="4" w:space="0"/>
              <w:lef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400</w:t>
            </w:r>
          </w:p>
        </w:tc>
      </w:tr>
    </w:tbl>
    <w:p>
      <w:pPr>
        <w:rPr>
          <w:rFonts w:ascii="仿宋" w:hAnsi="仿宋" w:eastAsia="仿宋"/>
          <w:color w:val="auto"/>
          <w:sz w:val="30"/>
          <w:szCs w:val="30"/>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pPr>
        <w:rPr>
          <w:rFonts w:ascii="仿宋" w:hAnsi="仿宋" w:eastAsia="仿宋"/>
          <w:color w:val="auto"/>
          <w:sz w:val="30"/>
          <w:szCs w:val="30"/>
        </w:rPr>
      </w:pPr>
      <w:r>
        <w:rPr>
          <w:rFonts w:hint="eastAsia" w:ascii="仿宋" w:hAnsi="仿宋" w:eastAsia="仿宋"/>
          <w:color w:val="auto"/>
          <w:sz w:val="30"/>
          <w:szCs w:val="30"/>
        </w:rPr>
        <w:t>（</w:t>
      </w:r>
      <w:r>
        <w:rPr>
          <w:rFonts w:hint="eastAsia" w:ascii="仿宋" w:hAnsi="仿宋" w:eastAsia="仿宋"/>
          <w:color w:val="auto"/>
          <w:sz w:val="30"/>
          <w:szCs w:val="30"/>
          <w:lang w:val="en-US" w:eastAsia="zh-CN"/>
        </w:rPr>
        <w:t>三</w:t>
      </w:r>
      <w:r>
        <w:rPr>
          <w:rFonts w:hint="eastAsia" w:ascii="仿宋" w:hAnsi="仿宋" w:eastAsia="仿宋"/>
          <w:color w:val="auto"/>
          <w:sz w:val="30"/>
          <w:szCs w:val="30"/>
        </w:rPr>
        <w:t>）</w:t>
      </w:r>
      <w:r>
        <w:rPr>
          <w:rFonts w:ascii="仿宋" w:hAnsi="仿宋" w:eastAsia="仿宋"/>
          <w:color w:val="auto"/>
          <w:sz w:val="30"/>
          <w:szCs w:val="30"/>
        </w:rPr>
        <w:t>港内集装箱增值服务</w:t>
      </w:r>
    </w:p>
    <w:p>
      <w:pPr>
        <w:ind w:firstLine="150" w:firstLineChars="50"/>
        <w:rPr>
          <w:rFonts w:ascii="仿宋" w:hAnsi="仿宋" w:eastAsia="仿宋"/>
          <w:color w:val="auto"/>
          <w:sz w:val="30"/>
          <w:szCs w:val="30"/>
        </w:rPr>
      </w:pPr>
      <w:r>
        <w:rPr>
          <w:rFonts w:ascii="仿宋" w:hAnsi="仿宋" w:eastAsia="仿宋"/>
          <w:color w:val="auto"/>
          <w:sz w:val="30"/>
          <w:szCs w:val="30"/>
        </w:rPr>
        <w:t>1.</w:t>
      </w:r>
      <w:r>
        <w:rPr>
          <w:rFonts w:hint="eastAsia" w:ascii="仿宋" w:hAnsi="仿宋" w:eastAsia="仿宋"/>
          <w:color w:val="auto"/>
          <w:sz w:val="30"/>
          <w:szCs w:val="30"/>
        </w:rPr>
        <w:t>辅助</w:t>
      </w:r>
      <w:r>
        <w:rPr>
          <w:rFonts w:ascii="仿宋" w:hAnsi="仿宋" w:eastAsia="仿宋"/>
          <w:color w:val="auto"/>
          <w:sz w:val="30"/>
          <w:szCs w:val="30"/>
        </w:rPr>
        <w:t>查验（</w:t>
      </w:r>
      <w:r>
        <w:rPr>
          <w:rFonts w:hint="eastAsia" w:ascii="仿宋" w:hAnsi="仿宋" w:eastAsia="仿宋"/>
          <w:color w:val="auto"/>
          <w:sz w:val="30"/>
          <w:szCs w:val="30"/>
        </w:rPr>
        <w:t>单位</w:t>
      </w:r>
      <w:r>
        <w:rPr>
          <w:rFonts w:ascii="仿宋" w:hAnsi="仿宋" w:eastAsia="仿宋"/>
          <w:color w:val="auto"/>
          <w:sz w:val="30"/>
          <w:szCs w:val="30"/>
        </w:rPr>
        <w:t>：元）</w:t>
      </w:r>
    </w:p>
    <w:tbl>
      <w:tblPr>
        <w:tblStyle w:val="5"/>
        <w:tblW w:w="9653"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autofit"/>
        <w:tblCellMar>
          <w:top w:w="0" w:type="dxa"/>
          <w:left w:w="108" w:type="dxa"/>
          <w:bottom w:w="0" w:type="dxa"/>
          <w:right w:w="108" w:type="dxa"/>
        </w:tblCellMar>
      </w:tblPr>
      <w:tblGrid>
        <w:gridCol w:w="816"/>
        <w:gridCol w:w="1148"/>
        <w:gridCol w:w="4674"/>
        <w:gridCol w:w="806"/>
        <w:gridCol w:w="1073"/>
        <w:gridCol w:w="1136"/>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33" w:hRule="atLeast"/>
          <w:jc w:val="center"/>
        </w:trPr>
        <w:tc>
          <w:tcPr>
            <w:tcW w:w="6613" w:type="dxa"/>
            <w:gridSpan w:val="3"/>
            <w:vMerge w:val="restart"/>
            <w:tcBorders>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服务作业内容</w:t>
            </w:r>
          </w:p>
        </w:tc>
        <w:tc>
          <w:tcPr>
            <w:tcW w:w="813" w:type="dxa"/>
            <w:vMerge w:val="restart"/>
            <w:tcBorders>
              <w:left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付费人</w:t>
            </w:r>
          </w:p>
        </w:tc>
        <w:tc>
          <w:tcPr>
            <w:tcW w:w="2227" w:type="dxa"/>
            <w:gridSpan w:val="2"/>
            <w:tcBorders>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收费标准</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33" w:hRule="atLeast"/>
          <w:jc w:val="center"/>
        </w:trPr>
        <w:tc>
          <w:tcPr>
            <w:tcW w:w="6613" w:type="dxa"/>
            <w:gridSpan w:val="3"/>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813" w:type="dxa"/>
            <w:vMerge w:val="continue"/>
            <w:tcBorders>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8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20英尺</w:t>
            </w:r>
          </w:p>
        </w:tc>
        <w:tc>
          <w:tcPr>
            <w:tcW w:w="1144"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40英尺</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87" w:hRule="atLeast"/>
          <w:jc w:val="center"/>
        </w:trPr>
        <w:tc>
          <w:tcPr>
            <w:tcW w:w="1842" w:type="dxa"/>
            <w:gridSpan w:val="2"/>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空箱查验</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（包干）</w:t>
            </w:r>
          </w:p>
        </w:tc>
        <w:tc>
          <w:tcPr>
            <w:tcW w:w="477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人工查验包括4次装卸车和开箱门。</w:t>
            </w:r>
          </w:p>
        </w:tc>
        <w:tc>
          <w:tcPr>
            <w:tcW w:w="8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船方</w:t>
            </w:r>
          </w:p>
        </w:tc>
        <w:tc>
          <w:tcPr>
            <w:tcW w:w="108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150</w:t>
            </w:r>
          </w:p>
        </w:tc>
        <w:tc>
          <w:tcPr>
            <w:tcW w:w="1144"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200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87" w:hRule="atLeast"/>
          <w:jc w:val="center"/>
        </w:trPr>
        <w:tc>
          <w:tcPr>
            <w:tcW w:w="678" w:type="dxa"/>
            <w:vMerge w:val="restart"/>
            <w:tcBorders>
              <w:top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辅助查验倒箱作业（包干）</w:t>
            </w:r>
          </w:p>
        </w:tc>
        <w:tc>
          <w:tcPr>
            <w:tcW w:w="116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开箱门</w:t>
            </w:r>
          </w:p>
        </w:tc>
        <w:tc>
          <w:tcPr>
            <w:tcW w:w="477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包括开箱门、装卸车、拖运。</w:t>
            </w:r>
          </w:p>
        </w:tc>
        <w:tc>
          <w:tcPr>
            <w:tcW w:w="81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货方</w:t>
            </w:r>
          </w:p>
        </w:tc>
        <w:tc>
          <w:tcPr>
            <w:tcW w:w="108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200</w:t>
            </w:r>
          </w:p>
        </w:tc>
        <w:tc>
          <w:tcPr>
            <w:tcW w:w="1144"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300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87" w:hRule="atLeast"/>
          <w:jc w:val="center"/>
        </w:trPr>
        <w:tc>
          <w:tcPr>
            <w:tcW w:w="678" w:type="dxa"/>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16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一般贸易集装箱</w:t>
            </w:r>
          </w:p>
        </w:tc>
        <w:tc>
          <w:tcPr>
            <w:tcW w:w="477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包括开箱门、装卸车、拖运、重箱半掏箱或全掏箱。</w:t>
            </w:r>
          </w:p>
        </w:tc>
        <w:tc>
          <w:tcPr>
            <w:tcW w:w="813"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货方</w:t>
            </w:r>
          </w:p>
        </w:tc>
        <w:tc>
          <w:tcPr>
            <w:tcW w:w="1083"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700</w:t>
            </w:r>
          </w:p>
        </w:tc>
        <w:tc>
          <w:tcPr>
            <w:tcW w:w="1144"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1350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1669" w:hRule="atLeast"/>
          <w:jc w:val="center"/>
        </w:trPr>
        <w:tc>
          <w:tcPr>
            <w:tcW w:w="678" w:type="dxa"/>
            <w:vMerge w:val="continue"/>
            <w:tcBorders>
              <w:top w:val="single" w:color="auto" w:sz="4" w:space="0"/>
              <w:bottom w:val="single" w:color="auto" w:sz="18"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164"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市场贸易采购集装箱</w:t>
            </w:r>
          </w:p>
        </w:tc>
        <w:tc>
          <w:tcPr>
            <w:tcW w:w="4771" w:type="dxa"/>
            <w:vMerge w:val="continue"/>
            <w:tcBorders>
              <w:top w:val="single" w:color="auto" w:sz="4" w:space="0"/>
              <w:left w:val="single" w:color="auto" w:sz="4" w:space="0"/>
              <w:bottom w:val="single" w:color="auto" w:sz="18"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813" w:type="dxa"/>
            <w:vMerge w:val="continue"/>
            <w:tcBorders>
              <w:top w:val="single" w:color="auto" w:sz="4" w:space="0"/>
              <w:left w:val="single" w:color="auto" w:sz="4" w:space="0"/>
              <w:bottom w:val="single" w:color="auto" w:sz="18"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83"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900</w:t>
            </w:r>
          </w:p>
        </w:tc>
        <w:tc>
          <w:tcPr>
            <w:tcW w:w="1144" w:type="dxa"/>
            <w:tcBorders>
              <w:top w:val="single" w:color="auto" w:sz="4" w:space="0"/>
              <w:left w:val="single" w:color="auto" w:sz="4" w:space="0"/>
              <w:bottom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lang w:val="en-US" w:eastAsia="zh-CN"/>
              </w:rPr>
            </w:pPr>
            <w:r>
              <w:rPr>
                <w:rFonts w:hint="eastAsia" w:ascii="仿宋" w:hAnsi="仿宋" w:eastAsia="仿宋" w:cs="宋体"/>
                <w:color w:val="auto"/>
                <w:kern w:val="0"/>
                <w:sz w:val="30"/>
                <w:szCs w:val="30"/>
                <w:lang w:val="en-US" w:eastAsia="zh-CN"/>
              </w:rPr>
              <w:t>1650</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217" w:hRule="atLeast"/>
          <w:jc w:val="center"/>
        </w:trPr>
        <w:tc>
          <w:tcPr>
            <w:tcW w:w="9653" w:type="dxa"/>
            <w:gridSpan w:val="6"/>
            <w:tcBorders>
              <w:top w:val="single" w:color="auto" w:sz="18" w:space="0"/>
              <w:tl2br w:val="nil"/>
              <w:tr2bl w:val="nil"/>
            </w:tcBorders>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说明：</w:t>
            </w:r>
          </w:p>
          <w:p>
            <w:pPr>
              <w:keepNext w:val="0"/>
              <w:keepLines w:val="0"/>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lang w:val="en-US" w:eastAsia="zh-CN"/>
              </w:rPr>
              <w:t>1</w:t>
            </w:r>
            <w:r>
              <w:rPr>
                <w:rFonts w:hint="eastAsia" w:ascii="仿宋" w:hAnsi="仿宋" w:eastAsia="仿宋" w:cs="宋体"/>
                <w:color w:val="auto"/>
                <w:kern w:val="0"/>
                <w:sz w:val="30"/>
                <w:szCs w:val="30"/>
              </w:rPr>
              <w:t>.提供空箱查验（包干）服务，向船方计收港口作业包干费。</w:t>
            </w:r>
          </w:p>
          <w:p>
            <w:pPr>
              <w:keepNext w:val="0"/>
              <w:keepLines w:val="0"/>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lang w:val="en-US" w:eastAsia="zh-CN"/>
              </w:rPr>
              <w:t>2</w:t>
            </w:r>
            <w:r>
              <w:rPr>
                <w:rFonts w:hint="eastAsia" w:ascii="仿宋" w:hAnsi="仿宋" w:eastAsia="仿宋" w:cs="宋体"/>
                <w:color w:val="auto"/>
                <w:kern w:val="0"/>
                <w:sz w:val="30"/>
                <w:szCs w:val="30"/>
              </w:rPr>
              <w:t>.辅助查验倒箱作业（包干）以1个作业指令、归位确认为限定，按实际产生次数计收。</w:t>
            </w:r>
          </w:p>
          <w:p>
            <w:pPr>
              <w:keepNext w:val="0"/>
              <w:keepLines w:val="0"/>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lang w:val="en-US" w:eastAsia="zh-CN"/>
              </w:rPr>
              <w:t>3</w:t>
            </w:r>
            <w:r>
              <w:rPr>
                <w:rFonts w:hint="eastAsia" w:ascii="仿宋" w:hAnsi="仿宋" w:eastAsia="仿宋" w:cs="宋体"/>
                <w:color w:val="auto"/>
                <w:kern w:val="0"/>
                <w:sz w:val="30"/>
                <w:szCs w:val="30"/>
              </w:rPr>
              <w:t>.若查验时产生压车板，按300元/箱/</w:t>
            </w:r>
            <w:r>
              <w:rPr>
                <w:rFonts w:hint="eastAsia" w:ascii="仿宋" w:hAnsi="仿宋" w:eastAsia="仿宋" w:cs="宋体"/>
                <w:color w:val="auto"/>
                <w:kern w:val="0"/>
                <w:sz w:val="30"/>
                <w:szCs w:val="30"/>
                <w:lang w:val="en-US" w:eastAsia="zh-CN"/>
              </w:rPr>
              <w:t>次</w:t>
            </w:r>
            <w:r>
              <w:rPr>
                <w:rFonts w:hint="eastAsia" w:ascii="仿宋" w:hAnsi="仿宋" w:eastAsia="仿宋" w:cs="宋体"/>
                <w:color w:val="auto"/>
                <w:kern w:val="0"/>
                <w:sz w:val="30"/>
                <w:szCs w:val="30"/>
              </w:rPr>
              <w:t>加收港口作业包干费。</w:t>
            </w:r>
          </w:p>
          <w:p>
            <w:pPr>
              <w:keepNext w:val="0"/>
              <w:keepLines w:val="0"/>
              <w:suppressLineNumbers w:val="0"/>
              <w:spacing w:before="0" w:beforeAutospacing="0" w:after="0" w:afterAutospacing="0"/>
              <w:ind w:left="0" w:right="0"/>
              <w:jc w:val="left"/>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lang w:val="en-US" w:eastAsia="zh-CN"/>
              </w:rPr>
              <w:t>4</w:t>
            </w:r>
            <w:r>
              <w:rPr>
                <w:rFonts w:hint="eastAsia" w:ascii="仿宋" w:hAnsi="仿宋" w:eastAsia="仿宋" w:cs="宋体"/>
                <w:color w:val="auto"/>
                <w:kern w:val="0"/>
                <w:sz w:val="30"/>
                <w:szCs w:val="30"/>
              </w:rPr>
              <w:t>.辅助查验倒箱作业（包干）只限于一般普通货物，</w:t>
            </w:r>
            <w:r>
              <w:rPr>
                <w:rFonts w:hint="eastAsia" w:ascii="仿宋" w:hAnsi="仿宋" w:eastAsia="仿宋" w:cs="宋体"/>
                <w:color w:val="auto"/>
                <w:kern w:val="0"/>
                <w:sz w:val="30"/>
                <w:szCs w:val="30"/>
                <w:lang w:val="en-US" w:eastAsia="zh-CN"/>
              </w:rPr>
              <w:t>30英尺以下的集装箱按20英尺计收，30英尺及以上且未及40英尺的集装箱按40英尺计收，</w:t>
            </w:r>
            <w:r>
              <w:rPr>
                <w:rFonts w:hint="eastAsia" w:ascii="仿宋" w:hAnsi="仿宋" w:eastAsia="仿宋" w:cs="宋体"/>
                <w:color w:val="auto"/>
                <w:kern w:val="0"/>
                <w:sz w:val="30"/>
                <w:szCs w:val="30"/>
              </w:rPr>
              <w:t>45英尺及以上集装箱按40英集装箱费率加收25%</w:t>
            </w:r>
            <w:r>
              <w:rPr>
                <w:rFonts w:hint="eastAsia" w:ascii="仿宋" w:hAnsi="仿宋" w:eastAsia="仿宋" w:cs="宋体"/>
                <w:color w:val="auto"/>
                <w:kern w:val="0"/>
                <w:sz w:val="30"/>
                <w:szCs w:val="30"/>
                <w:lang w:eastAsia="zh-CN"/>
              </w:rPr>
              <w:t>；</w:t>
            </w:r>
            <w:r>
              <w:rPr>
                <w:rFonts w:hint="eastAsia" w:ascii="仿宋" w:hAnsi="仿宋" w:eastAsia="仿宋" w:cs="宋体"/>
                <w:color w:val="auto"/>
                <w:kern w:val="0"/>
                <w:sz w:val="30"/>
                <w:szCs w:val="30"/>
              </w:rPr>
              <w:t>冷藏货物在相应包干费率基础上加收50％</w:t>
            </w:r>
            <w:r>
              <w:rPr>
                <w:rFonts w:hint="eastAsia" w:ascii="仿宋" w:hAnsi="仿宋" w:eastAsia="仿宋" w:cs="宋体"/>
                <w:color w:val="auto"/>
                <w:kern w:val="0"/>
                <w:sz w:val="30"/>
                <w:szCs w:val="30"/>
                <w:lang w:eastAsia="zh-CN"/>
              </w:rPr>
              <w:t>；危险品箱按相应箱型加收100％。</w:t>
            </w:r>
          </w:p>
          <w:p>
            <w:pPr>
              <w:keepNext w:val="0"/>
              <w:keepLines w:val="0"/>
              <w:suppressLineNumbers w:val="0"/>
              <w:spacing w:before="0" w:beforeAutospacing="0" w:after="0" w:afterAutospacing="0"/>
              <w:ind w:left="0" w:right="0"/>
              <w:jc w:val="both"/>
              <w:rPr>
                <w:rFonts w:hint="default" w:ascii="仿宋" w:hAnsi="仿宋" w:eastAsia="仿宋" w:cs="宋体"/>
                <w:color w:val="auto"/>
                <w:kern w:val="0"/>
                <w:sz w:val="30"/>
                <w:szCs w:val="30"/>
              </w:rPr>
            </w:pPr>
            <w:r>
              <w:rPr>
                <w:rFonts w:hint="eastAsia" w:ascii="仿宋" w:hAnsi="仿宋" w:eastAsia="仿宋" w:cs="宋体"/>
                <w:color w:val="auto"/>
                <w:kern w:val="0"/>
                <w:sz w:val="30"/>
                <w:szCs w:val="30"/>
                <w:lang w:val="en-US" w:eastAsia="zh-CN"/>
              </w:rPr>
              <w:t>5</w:t>
            </w:r>
            <w:r>
              <w:rPr>
                <w:rFonts w:hint="eastAsia" w:ascii="仿宋" w:hAnsi="仿宋" w:eastAsia="仿宋" w:cs="宋体"/>
                <w:color w:val="auto"/>
                <w:kern w:val="0"/>
                <w:sz w:val="30"/>
                <w:szCs w:val="30"/>
              </w:rPr>
              <w:t>.辅助查验倒箱作业（包干）范围外发生的查验货物出入库收费按集装箱货运站货物（包干）提货的收费标准计收，货物体积以集装箱装载的实际货物体积为准。查验货物出入库收费最高价格如下：20英尺集装箱为30立方；40英尺平箱为60立方，40英尺高箱为70立方，</w:t>
            </w:r>
            <w:r>
              <w:rPr>
                <w:rFonts w:hint="default" w:ascii="仿宋" w:hAnsi="仿宋" w:eastAsia="仿宋" w:cs="宋体"/>
                <w:color w:val="auto"/>
                <w:kern w:val="0"/>
                <w:sz w:val="30"/>
                <w:szCs w:val="30"/>
              </w:rPr>
              <w:t>45</w:t>
            </w:r>
            <w:r>
              <w:rPr>
                <w:rFonts w:hint="eastAsia" w:ascii="仿宋" w:hAnsi="仿宋" w:eastAsia="仿宋" w:cs="宋体"/>
                <w:color w:val="auto"/>
                <w:kern w:val="0"/>
                <w:sz w:val="30"/>
                <w:szCs w:val="30"/>
              </w:rPr>
              <w:t>英尺</w:t>
            </w:r>
            <w:r>
              <w:rPr>
                <w:rFonts w:hint="default" w:ascii="仿宋" w:hAnsi="仿宋" w:eastAsia="仿宋" w:cs="宋体"/>
                <w:color w:val="auto"/>
                <w:kern w:val="0"/>
                <w:sz w:val="30"/>
                <w:szCs w:val="30"/>
              </w:rPr>
              <w:t>及以上</w:t>
            </w:r>
            <w:r>
              <w:rPr>
                <w:rFonts w:hint="eastAsia" w:ascii="仿宋" w:hAnsi="仿宋" w:eastAsia="仿宋" w:cs="宋体"/>
                <w:color w:val="auto"/>
                <w:kern w:val="0"/>
                <w:sz w:val="30"/>
                <w:szCs w:val="30"/>
              </w:rPr>
              <w:t>集装箱为80立方计收。</w:t>
            </w:r>
          </w:p>
        </w:tc>
      </w:tr>
    </w:tbl>
    <w:p>
      <w:pPr>
        <w:rPr>
          <w:rFonts w:ascii="仿宋" w:hAnsi="仿宋" w:eastAsia="仿宋"/>
          <w:color w:val="auto"/>
          <w:sz w:val="30"/>
          <w:szCs w:val="30"/>
        </w:rPr>
      </w:pPr>
      <w:r>
        <w:rPr>
          <w:rFonts w:ascii="仿宋" w:hAnsi="仿宋" w:eastAsia="仿宋"/>
          <w:color w:val="auto"/>
          <w:sz w:val="30"/>
          <w:szCs w:val="30"/>
        </w:rPr>
        <w:t>2.</w:t>
      </w:r>
      <w:r>
        <w:rPr>
          <w:rFonts w:hint="eastAsia" w:ascii="仿宋" w:hAnsi="仿宋" w:eastAsia="仿宋"/>
          <w:color w:val="auto"/>
          <w:sz w:val="30"/>
          <w:szCs w:val="30"/>
        </w:rPr>
        <w:t>集装箱仓库服务</w:t>
      </w:r>
      <w:r>
        <w:rPr>
          <w:rFonts w:ascii="仿宋" w:hAnsi="仿宋" w:eastAsia="仿宋"/>
          <w:color w:val="auto"/>
          <w:sz w:val="30"/>
          <w:szCs w:val="30"/>
        </w:rPr>
        <w:t>（</w:t>
      </w:r>
      <w:r>
        <w:rPr>
          <w:rFonts w:hint="eastAsia" w:ascii="仿宋" w:hAnsi="仿宋" w:eastAsia="仿宋"/>
          <w:color w:val="auto"/>
          <w:sz w:val="30"/>
          <w:szCs w:val="30"/>
        </w:rPr>
        <w:t>单位</w:t>
      </w:r>
      <w:r>
        <w:rPr>
          <w:rFonts w:ascii="仿宋" w:hAnsi="仿宋" w:eastAsia="仿宋"/>
          <w:color w:val="auto"/>
          <w:sz w:val="30"/>
          <w:szCs w:val="30"/>
        </w:rPr>
        <w:t>：元）</w:t>
      </w:r>
    </w:p>
    <w:tbl>
      <w:tblPr>
        <w:tblStyle w:val="5"/>
        <w:tblW w:w="9737" w:type="dxa"/>
        <w:jc w:val="center"/>
        <w:tblLayout w:type="autofit"/>
        <w:tblCellMar>
          <w:top w:w="0" w:type="dxa"/>
          <w:left w:w="108" w:type="dxa"/>
          <w:bottom w:w="0" w:type="dxa"/>
          <w:right w:w="108" w:type="dxa"/>
        </w:tblCellMar>
      </w:tblPr>
      <w:tblGrid>
        <w:gridCol w:w="816"/>
        <w:gridCol w:w="1036"/>
        <w:gridCol w:w="3696"/>
        <w:gridCol w:w="1047"/>
        <w:gridCol w:w="1036"/>
        <w:gridCol w:w="1047"/>
        <w:gridCol w:w="1059"/>
      </w:tblGrid>
      <w:tr>
        <w:tblPrEx>
          <w:tblCellMar>
            <w:top w:w="0" w:type="dxa"/>
            <w:left w:w="108" w:type="dxa"/>
            <w:bottom w:w="0" w:type="dxa"/>
            <w:right w:w="108" w:type="dxa"/>
          </w:tblCellMar>
        </w:tblPrEx>
        <w:trPr>
          <w:trHeight w:val="690" w:hRule="atLeast"/>
          <w:jc w:val="center"/>
        </w:trPr>
        <w:tc>
          <w:tcPr>
            <w:tcW w:w="5500" w:type="dxa"/>
            <w:gridSpan w:val="3"/>
            <w:vMerge w:val="restart"/>
            <w:tcBorders>
              <w:top w:val="single" w:color="auto" w:sz="18" w:space="0"/>
              <w:left w:val="single" w:color="auto" w:sz="18"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服务作业内容</w:t>
            </w:r>
          </w:p>
        </w:tc>
        <w:tc>
          <w:tcPr>
            <w:tcW w:w="1059" w:type="dxa"/>
            <w:vMerge w:val="restart"/>
            <w:tcBorders>
              <w:top w:val="single" w:color="auto" w:sz="18" w:space="0"/>
              <w:left w:val="single" w:color="auto" w:sz="4" w:space="0"/>
              <w:bottom w:val="single" w:color="000000"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计费</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单位</w:t>
            </w:r>
          </w:p>
        </w:tc>
        <w:tc>
          <w:tcPr>
            <w:tcW w:w="1052" w:type="dxa"/>
            <w:vMerge w:val="restart"/>
            <w:tcBorders>
              <w:top w:val="single" w:color="auto" w:sz="18"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付费人</w:t>
            </w:r>
          </w:p>
        </w:tc>
        <w:tc>
          <w:tcPr>
            <w:tcW w:w="1059" w:type="dxa"/>
            <w:vMerge w:val="restart"/>
            <w:tcBorders>
              <w:top w:val="single" w:color="auto" w:sz="18" w:space="0"/>
              <w:left w:val="single" w:color="auto" w:sz="4" w:space="0"/>
              <w:bottom w:val="single" w:color="000000"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20</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英尺</w:t>
            </w:r>
          </w:p>
        </w:tc>
        <w:tc>
          <w:tcPr>
            <w:tcW w:w="1067" w:type="dxa"/>
            <w:vMerge w:val="restart"/>
            <w:tcBorders>
              <w:top w:val="single" w:color="auto" w:sz="18" w:space="0"/>
              <w:left w:val="single" w:color="auto" w:sz="4" w:space="0"/>
              <w:bottom w:val="single" w:color="000000" w:sz="4"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40</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英尺</w:t>
            </w:r>
          </w:p>
        </w:tc>
      </w:tr>
      <w:tr>
        <w:tblPrEx>
          <w:tblCellMar>
            <w:top w:w="0" w:type="dxa"/>
            <w:left w:w="108" w:type="dxa"/>
            <w:bottom w:w="0" w:type="dxa"/>
            <w:right w:w="108" w:type="dxa"/>
          </w:tblCellMar>
        </w:tblPrEx>
        <w:trPr>
          <w:trHeight w:val="690" w:hRule="atLeast"/>
          <w:jc w:val="center"/>
        </w:trPr>
        <w:tc>
          <w:tcPr>
            <w:tcW w:w="5500" w:type="dxa"/>
            <w:gridSpan w:val="3"/>
            <w:vMerge w:val="continue"/>
            <w:tcBorders>
              <w:top w:val="single" w:color="auto" w:sz="8" w:space="0"/>
              <w:left w:val="single" w:color="auto" w:sz="18"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59" w:type="dxa"/>
            <w:vMerge w:val="continue"/>
            <w:tcBorders>
              <w:top w:val="single" w:color="auto" w:sz="8" w:space="0"/>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52" w:type="dxa"/>
            <w:vMerge w:val="continue"/>
            <w:tcBorders>
              <w:top w:val="single" w:color="auto" w:sz="8"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59" w:type="dxa"/>
            <w:vMerge w:val="continue"/>
            <w:tcBorders>
              <w:top w:val="single" w:color="auto" w:sz="8" w:space="0"/>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67" w:type="dxa"/>
            <w:vMerge w:val="continue"/>
            <w:tcBorders>
              <w:top w:val="single" w:color="auto" w:sz="8" w:space="0"/>
              <w:left w:val="single" w:color="auto" w:sz="4" w:space="0"/>
              <w:bottom w:val="single" w:color="000000" w:sz="4" w:space="0"/>
              <w:right w:val="single" w:color="auto" w:sz="18"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r>
      <w:tr>
        <w:tblPrEx>
          <w:tblCellMar>
            <w:top w:w="0" w:type="dxa"/>
            <w:left w:w="108" w:type="dxa"/>
            <w:bottom w:w="0" w:type="dxa"/>
            <w:right w:w="108" w:type="dxa"/>
          </w:tblCellMar>
        </w:tblPrEx>
        <w:trPr>
          <w:trHeight w:val="1530" w:hRule="atLeast"/>
          <w:jc w:val="center"/>
        </w:trPr>
        <w:tc>
          <w:tcPr>
            <w:tcW w:w="1715" w:type="dxa"/>
            <w:gridSpan w:val="2"/>
            <w:tcBorders>
              <w:top w:val="single" w:color="auto" w:sz="4" w:space="0"/>
              <w:left w:val="single" w:color="auto" w:sz="18"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装、拆箱</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（包干）</w:t>
            </w:r>
          </w:p>
        </w:tc>
        <w:tc>
          <w:tcPr>
            <w:tcW w:w="3785"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包括装卸车和集装箱货物装、拆箱人工作业，但不包括指定堆场的装、卸车。</w:t>
            </w:r>
          </w:p>
        </w:tc>
        <w:tc>
          <w:tcPr>
            <w:tcW w:w="1059"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元/箱</w:t>
            </w:r>
          </w:p>
        </w:tc>
        <w:tc>
          <w:tcPr>
            <w:tcW w:w="1052" w:type="dxa"/>
            <w:vMerge w:val="restart"/>
            <w:tcBorders>
              <w:top w:val="nil"/>
              <w:left w:val="single" w:color="auto" w:sz="4" w:space="0"/>
              <w:bottom w:val="single" w:color="000000"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货方</w:t>
            </w:r>
          </w:p>
        </w:tc>
        <w:tc>
          <w:tcPr>
            <w:tcW w:w="1059"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700</w:t>
            </w:r>
          </w:p>
        </w:tc>
        <w:tc>
          <w:tcPr>
            <w:tcW w:w="1067" w:type="dxa"/>
            <w:tcBorders>
              <w:top w:val="single" w:color="auto" w:sz="4" w:space="0"/>
              <w:left w:val="single" w:color="auto" w:sz="4" w:space="0"/>
              <w:bottom w:val="single" w:color="auto" w:sz="4"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1350</w:t>
            </w:r>
          </w:p>
        </w:tc>
      </w:tr>
      <w:tr>
        <w:tblPrEx>
          <w:tblCellMar>
            <w:top w:w="0" w:type="dxa"/>
            <w:left w:w="108" w:type="dxa"/>
            <w:bottom w:w="0" w:type="dxa"/>
            <w:right w:w="108" w:type="dxa"/>
          </w:tblCellMar>
        </w:tblPrEx>
        <w:trPr>
          <w:trHeight w:val="705" w:hRule="atLeast"/>
          <w:jc w:val="center"/>
        </w:trPr>
        <w:tc>
          <w:tcPr>
            <w:tcW w:w="663" w:type="dxa"/>
            <w:vMerge w:val="restart"/>
            <w:tcBorders>
              <w:top w:val="single" w:color="auto" w:sz="4" w:space="0"/>
              <w:left w:val="single" w:color="auto" w:sz="18"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货物</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（包干）</w:t>
            </w:r>
          </w:p>
        </w:tc>
        <w:tc>
          <w:tcPr>
            <w:tcW w:w="1052" w:type="dxa"/>
            <w:tcBorders>
              <w:top w:val="nil"/>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提货</w:t>
            </w:r>
          </w:p>
        </w:tc>
        <w:tc>
          <w:tcPr>
            <w:tcW w:w="3785" w:type="dxa"/>
            <w:vMerge w:val="restart"/>
            <w:tcBorders>
              <w:top w:val="nil"/>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货物提货、卸货作业以及对货物及其包装进行简单加工处理等。</w:t>
            </w:r>
          </w:p>
        </w:tc>
        <w:tc>
          <w:tcPr>
            <w:tcW w:w="1059"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W/M</w:t>
            </w:r>
          </w:p>
        </w:tc>
        <w:tc>
          <w:tcPr>
            <w:tcW w:w="1052"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2126" w:type="dxa"/>
            <w:gridSpan w:val="2"/>
            <w:tcBorders>
              <w:top w:val="single" w:color="auto" w:sz="4" w:space="0"/>
              <w:left w:val="nil"/>
              <w:bottom w:val="single" w:color="auto" w:sz="4"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20</w:t>
            </w:r>
          </w:p>
        </w:tc>
      </w:tr>
      <w:tr>
        <w:tblPrEx>
          <w:tblCellMar>
            <w:top w:w="0" w:type="dxa"/>
            <w:left w:w="108" w:type="dxa"/>
            <w:bottom w:w="0" w:type="dxa"/>
            <w:right w:w="108" w:type="dxa"/>
          </w:tblCellMar>
        </w:tblPrEx>
        <w:trPr>
          <w:trHeight w:val="705" w:hRule="atLeast"/>
          <w:jc w:val="center"/>
        </w:trPr>
        <w:tc>
          <w:tcPr>
            <w:tcW w:w="663" w:type="dxa"/>
            <w:vMerge w:val="continue"/>
            <w:tcBorders>
              <w:top w:val="single" w:color="auto" w:sz="4" w:space="0"/>
              <w:left w:val="single" w:color="auto" w:sz="18"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52" w:type="dxa"/>
            <w:tcBorders>
              <w:top w:val="nil"/>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卸货</w:t>
            </w:r>
          </w:p>
        </w:tc>
        <w:tc>
          <w:tcPr>
            <w:tcW w:w="3785"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059"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W/M</w:t>
            </w:r>
          </w:p>
        </w:tc>
        <w:tc>
          <w:tcPr>
            <w:tcW w:w="1052"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2126" w:type="dxa"/>
            <w:gridSpan w:val="2"/>
            <w:tcBorders>
              <w:top w:val="single" w:color="auto" w:sz="4" w:space="0"/>
              <w:left w:val="nil"/>
              <w:bottom w:val="single" w:color="auto" w:sz="4"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30</w:t>
            </w:r>
          </w:p>
        </w:tc>
      </w:tr>
      <w:tr>
        <w:tblPrEx>
          <w:tblCellMar>
            <w:top w:w="0" w:type="dxa"/>
            <w:left w:w="108" w:type="dxa"/>
            <w:bottom w:w="0" w:type="dxa"/>
            <w:right w:w="108" w:type="dxa"/>
          </w:tblCellMar>
        </w:tblPrEx>
        <w:trPr>
          <w:trHeight w:val="3375" w:hRule="atLeast"/>
          <w:jc w:val="center"/>
        </w:trPr>
        <w:tc>
          <w:tcPr>
            <w:tcW w:w="9737" w:type="dxa"/>
            <w:gridSpan w:val="7"/>
            <w:tcBorders>
              <w:top w:val="single" w:color="auto" w:sz="4" w:space="0"/>
              <w:left w:val="single" w:color="auto" w:sz="18" w:space="0"/>
              <w:bottom w:val="single" w:color="auto" w:sz="18"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说明：</w:t>
            </w:r>
          </w:p>
          <w:p>
            <w:pPr>
              <w:keepNext w:val="0"/>
              <w:keepLines w:val="0"/>
              <w:widowControl/>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1.集装箱货运站业务根据货方作业委托，向货方计收港口作业包干费。</w:t>
            </w:r>
          </w:p>
          <w:p>
            <w:pPr>
              <w:keepNext w:val="0"/>
              <w:keepLines w:val="0"/>
              <w:widowControl/>
              <w:suppressLineNumbers w:val="0"/>
              <w:spacing w:before="0" w:beforeAutospacing="0" w:after="0" w:afterAutospacing="0"/>
              <w:ind w:left="0" w:right="0"/>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2.装、拆箱（包干）：货物掏空后装入另一集装箱的装、拆箱作业，按拆箱、装箱分别计收1次装、拆箱作业（包干）费用。30英尺以下的集装箱按20英尺计收，30英尺及以上且未及40英尺的集装箱按40英尺计收。</w:t>
            </w:r>
          </w:p>
          <w:p>
            <w:pPr>
              <w:keepNext w:val="0"/>
              <w:keepLines w:val="0"/>
              <w:widowControl/>
              <w:suppressLineNumbers w:val="0"/>
              <w:spacing w:before="0" w:beforeAutospacing="0" w:after="0" w:afterAutospacing="0"/>
              <w:ind w:left="0" w:right="0"/>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3.货物（包干）：按重量吨和体积吨择大计算。</w:t>
            </w:r>
          </w:p>
        </w:tc>
      </w:tr>
    </w:tbl>
    <w:p>
      <w:pPr>
        <w:numPr>
          <w:ilvl w:val="255"/>
          <w:numId w:val="0"/>
        </w:numPr>
        <w:rPr>
          <w:rFonts w:hint="eastAsia" w:ascii="仿宋" w:hAnsi="仿宋" w:eastAsia="仿宋"/>
          <w:color w:val="auto"/>
          <w:sz w:val="30"/>
          <w:szCs w:val="30"/>
          <w:highlight w:val="none"/>
        </w:rPr>
      </w:pPr>
      <w:r>
        <w:rPr>
          <w:rFonts w:hint="eastAsia" w:ascii="仿宋" w:hAnsi="仿宋" w:eastAsia="仿宋"/>
          <w:color w:val="auto"/>
          <w:sz w:val="30"/>
          <w:szCs w:val="30"/>
          <w:highlight w:val="none"/>
        </w:rPr>
        <w:t>3.管空服务（单位：元）</w:t>
      </w:r>
    </w:p>
    <w:tbl>
      <w:tblPr>
        <w:tblStyle w:val="5"/>
        <w:tblW w:w="9769" w:type="dxa"/>
        <w:jc w:val="center"/>
        <w:tblLayout w:type="autofit"/>
        <w:tblCellMar>
          <w:top w:w="0" w:type="dxa"/>
          <w:left w:w="108" w:type="dxa"/>
          <w:bottom w:w="0" w:type="dxa"/>
          <w:right w:w="108" w:type="dxa"/>
        </w:tblCellMar>
      </w:tblPr>
      <w:tblGrid>
        <w:gridCol w:w="2758"/>
        <w:gridCol w:w="2400"/>
        <w:gridCol w:w="2280"/>
        <w:gridCol w:w="2331"/>
      </w:tblGrid>
      <w:tr>
        <w:tblPrEx>
          <w:tblCellMar>
            <w:top w:w="0" w:type="dxa"/>
            <w:left w:w="108" w:type="dxa"/>
            <w:bottom w:w="0" w:type="dxa"/>
            <w:right w:w="108" w:type="dxa"/>
          </w:tblCellMar>
        </w:tblPrEx>
        <w:trPr>
          <w:trHeight w:val="740" w:hRule="atLeast"/>
          <w:jc w:val="center"/>
        </w:trPr>
        <w:tc>
          <w:tcPr>
            <w:tcW w:w="2758" w:type="dxa"/>
            <w:vMerge w:val="restart"/>
            <w:tcBorders>
              <w:top w:val="single" w:color="000000" w:sz="18" w:space="0"/>
              <w:left w:val="single" w:color="000000" w:sz="18" w:space="0"/>
              <w:bottom w:val="single" w:color="000000" w:sz="4" w:space="0"/>
              <w:right w:val="single" w:color="000000"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rPr>
            </w:pPr>
            <w:r>
              <w:rPr>
                <w:rFonts w:hint="eastAsia" w:ascii="仿宋" w:hAnsi="仿宋" w:eastAsia="仿宋" w:cs="仿宋"/>
                <w:color w:val="auto"/>
                <w:kern w:val="2"/>
                <w:sz w:val="30"/>
                <w:szCs w:val="30"/>
                <w:highlight w:val="none"/>
              </w:rPr>
              <w:t>服务作业内容</w:t>
            </w:r>
          </w:p>
        </w:tc>
        <w:tc>
          <w:tcPr>
            <w:tcW w:w="2400" w:type="dxa"/>
            <w:vMerge w:val="restart"/>
            <w:tcBorders>
              <w:top w:val="single" w:color="000000" w:sz="18" w:space="0"/>
              <w:left w:val="single" w:color="000000" w:sz="4" w:space="0"/>
              <w:bottom w:val="single" w:color="000000" w:sz="4" w:space="0"/>
              <w:right w:val="single" w:color="000000"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rPr>
            </w:pPr>
            <w:r>
              <w:rPr>
                <w:rFonts w:hint="eastAsia" w:ascii="仿宋" w:hAnsi="仿宋" w:eastAsia="仿宋" w:cs="仿宋"/>
                <w:color w:val="auto"/>
                <w:kern w:val="2"/>
                <w:sz w:val="30"/>
                <w:szCs w:val="30"/>
                <w:highlight w:val="none"/>
              </w:rPr>
              <w:t>付费人</w:t>
            </w:r>
          </w:p>
        </w:tc>
        <w:tc>
          <w:tcPr>
            <w:tcW w:w="4611" w:type="dxa"/>
            <w:gridSpan w:val="2"/>
            <w:tcBorders>
              <w:top w:val="single" w:color="000000" w:sz="18" w:space="0"/>
              <w:left w:val="single" w:color="000000" w:sz="4" w:space="0"/>
              <w:bottom w:val="single" w:color="000000" w:sz="4" w:space="0"/>
              <w:right w:val="single" w:color="000000"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rPr>
            </w:pPr>
            <w:r>
              <w:rPr>
                <w:rFonts w:hint="eastAsia" w:ascii="仿宋" w:hAnsi="仿宋" w:eastAsia="仿宋" w:cs="仿宋"/>
                <w:color w:val="auto"/>
                <w:kern w:val="2"/>
                <w:sz w:val="30"/>
                <w:szCs w:val="30"/>
                <w:highlight w:val="none"/>
              </w:rPr>
              <w:t>收费标准</w:t>
            </w:r>
          </w:p>
        </w:tc>
      </w:tr>
      <w:tr>
        <w:tblPrEx>
          <w:tblCellMar>
            <w:top w:w="0" w:type="dxa"/>
            <w:left w:w="108" w:type="dxa"/>
            <w:bottom w:w="0" w:type="dxa"/>
            <w:right w:w="108" w:type="dxa"/>
          </w:tblCellMar>
        </w:tblPrEx>
        <w:trPr>
          <w:trHeight w:val="724" w:hRule="atLeast"/>
          <w:jc w:val="center"/>
        </w:trPr>
        <w:tc>
          <w:tcPr>
            <w:tcW w:w="2758" w:type="dxa"/>
            <w:vMerge w:val="continue"/>
            <w:tcBorders>
              <w:top w:val="single" w:color="000000" w:sz="4" w:space="0"/>
              <w:left w:val="single" w:color="000000" w:sz="18"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color w:val="auto"/>
                <w:kern w:val="2"/>
                <w:sz w:val="30"/>
                <w:szCs w:val="30"/>
                <w:highlight w:val="none"/>
              </w:rPr>
            </w:pPr>
          </w:p>
        </w:tc>
        <w:tc>
          <w:tcPr>
            <w:tcW w:w="240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color w:val="auto"/>
                <w:kern w:val="2"/>
                <w:sz w:val="30"/>
                <w:szCs w:val="30"/>
                <w:highlight w:val="none"/>
              </w:rPr>
            </w:pPr>
          </w:p>
        </w:tc>
        <w:tc>
          <w:tcPr>
            <w:tcW w:w="2280"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lang w:val="en-US" w:eastAsia="zh-CN"/>
              </w:rPr>
            </w:pPr>
            <w:r>
              <w:rPr>
                <w:rFonts w:hint="eastAsia" w:ascii="仿宋" w:hAnsi="仿宋" w:eastAsia="仿宋" w:cs="仿宋"/>
                <w:color w:val="auto"/>
                <w:kern w:val="2"/>
                <w:sz w:val="30"/>
                <w:szCs w:val="30"/>
                <w:highlight w:val="none"/>
              </w:rPr>
              <w:t>20英尺</w:t>
            </w:r>
          </w:p>
        </w:tc>
        <w:tc>
          <w:tcPr>
            <w:tcW w:w="2331" w:type="dxa"/>
            <w:tcBorders>
              <w:top w:val="single" w:color="000000" w:sz="4" w:space="0"/>
              <w:left w:val="single" w:color="000000" w:sz="4" w:space="0"/>
              <w:bottom w:val="single" w:color="000000" w:sz="4" w:space="0"/>
              <w:right w:val="single" w:color="000000"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lang w:val="en-US" w:eastAsia="zh-CN"/>
              </w:rPr>
            </w:pPr>
            <w:r>
              <w:rPr>
                <w:rFonts w:hint="eastAsia" w:ascii="仿宋" w:hAnsi="仿宋" w:eastAsia="仿宋" w:cs="仿宋"/>
                <w:color w:val="auto"/>
                <w:kern w:val="2"/>
                <w:sz w:val="30"/>
                <w:szCs w:val="30"/>
                <w:highlight w:val="none"/>
              </w:rPr>
              <w:t>40英尺</w:t>
            </w:r>
          </w:p>
        </w:tc>
      </w:tr>
      <w:tr>
        <w:tblPrEx>
          <w:tblCellMar>
            <w:top w:w="0" w:type="dxa"/>
            <w:left w:w="108" w:type="dxa"/>
            <w:bottom w:w="0" w:type="dxa"/>
            <w:right w:w="108" w:type="dxa"/>
          </w:tblCellMar>
        </w:tblPrEx>
        <w:trPr>
          <w:trHeight w:val="720" w:hRule="atLeast"/>
          <w:jc w:val="center"/>
        </w:trPr>
        <w:tc>
          <w:tcPr>
            <w:tcW w:w="2758" w:type="dxa"/>
            <w:tcBorders>
              <w:top w:val="single" w:color="000000" w:sz="4" w:space="0"/>
              <w:left w:val="single" w:color="000000" w:sz="18" w:space="0"/>
              <w:bottom w:val="single" w:color="000000" w:sz="4" w:space="0"/>
              <w:right w:val="single" w:color="000000"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lang w:val="en-US" w:eastAsia="zh-CN"/>
              </w:rPr>
            </w:pPr>
            <w:r>
              <w:rPr>
                <w:rFonts w:hint="eastAsia" w:ascii="仿宋" w:hAnsi="仿宋" w:eastAsia="仿宋" w:cs="仿宋"/>
                <w:color w:val="auto"/>
                <w:kern w:val="2"/>
                <w:sz w:val="30"/>
                <w:szCs w:val="30"/>
                <w:highlight w:val="none"/>
                <w:lang w:val="en-US" w:eastAsia="zh-CN"/>
              </w:rPr>
              <w:t>提取空箱产生</w:t>
            </w:r>
          </w:p>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rPr>
            </w:pPr>
            <w:r>
              <w:rPr>
                <w:rFonts w:hint="eastAsia" w:ascii="仿宋" w:hAnsi="仿宋" w:eastAsia="仿宋" w:cs="仿宋"/>
                <w:color w:val="auto"/>
                <w:kern w:val="2"/>
                <w:sz w:val="30"/>
                <w:szCs w:val="30"/>
                <w:highlight w:val="none"/>
                <w:lang w:val="en-US" w:eastAsia="zh-CN"/>
              </w:rPr>
              <w:t>的搬移作业</w:t>
            </w:r>
          </w:p>
        </w:tc>
        <w:tc>
          <w:tcPr>
            <w:tcW w:w="2400"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lang w:val="en-US" w:eastAsia="zh-CN"/>
              </w:rPr>
            </w:pPr>
            <w:r>
              <w:rPr>
                <w:rFonts w:hint="eastAsia" w:ascii="仿宋" w:hAnsi="仿宋" w:eastAsia="仿宋" w:cs="仿宋"/>
                <w:color w:val="auto"/>
                <w:kern w:val="2"/>
                <w:sz w:val="30"/>
                <w:szCs w:val="30"/>
                <w:highlight w:val="none"/>
                <w:lang w:val="en-US" w:eastAsia="zh-CN"/>
              </w:rPr>
              <w:t>货方</w:t>
            </w:r>
          </w:p>
        </w:tc>
        <w:tc>
          <w:tcPr>
            <w:tcW w:w="2280"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lang w:val="en-US" w:eastAsia="zh-CN"/>
              </w:rPr>
            </w:pPr>
            <w:r>
              <w:rPr>
                <w:rFonts w:hint="eastAsia" w:ascii="仿宋" w:hAnsi="仿宋" w:eastAsia="仿宋" w:cs="仿宋"/>
                <w:color w:val="auto"/>
                <w:kern w:val="2"/>
                <w:sz w:val="30"/>
                <w:szCs w:val="30"/>
                <w:highlight w:val="none"/>
                <w:lang w:val="en-US" w:eastAsia="zh-CN"/>
              </w:rPr>
              <w:t>50</w:t>
            </w:r>
          </w:p>
        </w:tc>
        <w:tc>
          <w:tcPr>
            <w:tcW w:w="2331" w:type="dxa"/>
            <w:tcBorders>
              <w:top w:val="single" w:color="000000" w:sz="4" w:space="0"/>
              <w:left w:val="single" w:color="000000" w:sz="4" w:space="0"/>
              <w:bottom w:val="single" w:color="000000" w:sz="4" w:space="0"/>
              <w:right w:val="single" w:color="000000"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2"/>
                <w:sz w:val="30"/>
                <w:szCs w:val="30"/>
                <w:highlight w:val="none"/>
                <w:lang w:val="en-US" w:eastAsia="zh-CN"/>
              </w:rPr>
            </w:pPr>
            <w:r>
              <w:rPr>
                <w:rFonts w:hint="eastAsia" w:ascii="仿宋" w:hAnsi="仿宋" w:eastAsia="仿宋" w:cs="仿宋"/>
                <w:color w:val="auto"/>
                <w:kern w:val="2"/>
                <w:sz w:val="30"/>
                <w:szCs w:val="30"/>
                <w:highlight w:val="none"/>
                <w:lang w:val="en-US" w:eastAsia="zh-CN"/>
              </w:rPr>
              <w:t>75</w:t>
            </w:r>
          </w:p>
        </w:tc>
      </w:tr>
      <w:tr>
        <w:tblPrEx>
          <w:tblCellMar>
            <w:top w:w="0" w:type="dxa"/>
            <w:left w:w="108" w:type="dxa"/>
            <w:bottom w:w="0" w:type="dxa"/>
            <w:right w:w="108" w:type="dxa"/>
          </w:tblCellMar>
        </w:tblPrEx>
        <w:trPr>
          <w:trHeight w:val="600" w:hRule="atLeast"/>
          <w:jc w:val="center"/>
        </w:trPr>
        <w:tc>
          <w:tcPr>
            <w:tcW w:w="9769" w:type="dxa"/>
            <w:gridSpan w:val="4"/>
            <w:tcBorders>
              <w:top w:val="single" w:color="000000" w:sz="4" w:space="0"/>
              <w:left w:val="single" w:color="000000" w:sz="18" w:space="0"/>
              <w:bottom w:val="single" w:color="000000" w:sz="18" w:space="0"/>
              <w:right w:val="single" w:color="000000" w:sz="18" w:space="0"/>
            </w:tcBorders>
            <w:shd w:val="clear" w:color="000000" w:fill="FFFFFF"/>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color w:val="auto"/>
                <w:kern w:val="2"/>
                <w:sz w:val="30"/>
                <w:szCs w:val="30"/>
                <w:highlight w:val="none"/>
                <w:lang w:val="en-US" w:eastAsia="zh-CN"/>
              </w:rPr>
            </w:pPr>
            <w:r>
              <w:rPr>
                <w:rFonts w:hint="eastAsia" w:ascii="仿宋" w:hAnsi="仿宋" w:eastAsia="仿宋" w:cs="仿宋"/>
                <w:color w:val="auto"/>
                <w:kern w:val="2"/>
                <w:sz w:val="30"/>
                <w:szCs w:val="30"/>
                <w:highlight w:val="none"/>
              </w:rPr>
              <w:t>说明：</w:t>
            </w:r>
            <w:r>
              <w:rPr>
                <w:rFonts w:hint="eastAsia" w:ascii="仿宋" w:hAnsi="仿宋" w:eastAsia="仿宋" w:cs="仿宋"/>
                <w:color w:val="auto"/>
                <w:kern w:val="2"/>
                <w:sz w:val="30"/>
                <w:szCs w:val="30"/>
                <w:highlight w:val="none"/>
              </w:rPr>
              <w:br w:type="textWrapping"/>
            </w:r>
            <w:r>
              <w:rPr>
                <w:rFonts w:hint="eastAsia" w:ascii="仿宋" w:hAnsi="仿宋" w:eastAsia="仿宋" w:cs="仿宋"/>
                <w:color w:val="auto"/>
                <w:kern w:val="2"/>
                <w:sz w:val="30"/>
                <w:szCs w:val="30"/>
                <w:highlight w:val="none"/>
              </w:rPr>
              <w:t>1.提取空箱产生的搬移作业</w:t>
            </w:r>
            <w:r>
              <w:rPr>
                <w:rFonts w:hint="eastAsia" w:ascii="仿宋" w:hAnsi="仿宋" w:eastAsia="仿宋" w:cs="仿宋"/>
                <w:color w:val="auto"/>
                <w:kern w:val="2"/>
                <w:sz w:val="30"/>
                <w:szCs w:val="30"/>
                <w:highlight w:val="none"/>
                <w:lang w:val="en-US" w:eastAsia="zh-CN"/>
              </w:rPr>
              <w:t>指</w:t>
            </w:r>
            <w:r>
              <w:rPr>
                <w:rFonts w:hint="eastAsia" w:ascii="仿宋" w:hAnsi="仿宋" w:eastAsia="仿宋" w:cs="仿宋"/>
                <w:color w:val="auto"/>
                <w:kern w:val="2"/>
                <w:sz w:val="30"/>
                <w:szCs w:val="30"/>
                <w:highlight w:val="none"/>
              </w:rPr>
              <w:t>空箱从堆场装上提箱集卡出场。</w:t>
            </w:r>
            <w:r>
              <w:rPr>
                <w:rFonts w:hint="eastAsia" w:ascii="仿宋" w:hAnsi="仿宋" w:eastAsia="仿宋" w:cs="仿宋"/>
                <w:color w:val="auto"/>
                <w:kern w:val="2"/>
                <w:sz w:val="30"/>
                <w:szCs w:val="30"/>
                <w:highlight w:val="none"/>
              </w:rPr>
              <w:br w:type="textWrapping"/>
            </w:r>
          </w:p>
        </w:tc>
      </w:tr>
    </w:tbl>
    <w:p>
      <w:pPr>
        <w:jc w:val="center"/>
        <w:rPr>
          <w:rFonts w:ascii="仿宋" w:hAnsi="仿宋" w:eastAsia="仿宋"/>
          <w:color w:val="auto"/>
          <w:sz w:val="30"/>
          <w:szCs w:val="30"/>
        </w:rPr>
      </w:pPr>
    </w:p>
    <w:p>
      <w:pPr>
        <w:numPr>
          <w:ilvl w:val="255"/>
          <w:numId w:val="0"/>
        </w:numPr>
        <w:rPr>
          <w:rFonts w:ascii="仿宋" w:hAnsi="仿宋" w:eastAsia="仿宋"/>
          <w:color w:val="auto"/>
          <w:sz w:val="30"/>
          <w:szCs w:val="30"/>
        </w:rPr>
      </w:pPr>
      <w:r>
        <w:rPr>
          <w:rFonts w:hint="eastAsia" w:ascii="仿宋" w:hAnsi="仿宋" w:eastAsia="仿宋"/>
          <w:color w:val="auto"/>
          <w:sz w:val="30"/>
          <w:szCs w:val="30"/>
        </w:rPr>
        <w:t>（</w:t>
      </w:r>
      <w:r>
        <w:rPr>
          <w:rFonts w:hint="eastAsia" w:ascii="仿宋" w:hAnsi="仿宋" w:eastAsia="仿宋"/>
          <w:color w:val="auto"/>
          <w:sz w:val="30"/>
          <w:szCs w:val="30"/>
          <w:lang w:val="en-US" w:eastAsia="zh-CN"/>
        </w:rPr>
        <w:t>四</w:t>
      </w:r>
      <w:r>
        <w:rPr>
          <w:rFonts w:hint="eastAsia" w:ascii="仿宋" w:hAnsi="仿宋" w:eastAsia="仿宋"/>
          <w:color w:val="auto"/>
          <w:sz w:val="30"/>
          <w:szCs w:val="30"/>
        </w:rPr>
        <w:t>）港口设施保安</w:t>
      </w:r>
      <w:r>
        <w:rPr>
          <w:rFonts w:ascii="仿宋" w:hAnsi="仿宋" w:eastAsia="仿宋"/>
          <w:color w:val="auto"/>
          <w:sz w:val="30"/>
          <w:szCs w:val="30"/>
        </w:rPr>
        <w:t>（</w:t>
      </w:r>
      <w:r>
        <w:rPr>
          <w:rFonts w:hint="eastAsia" w:ascii="仿宋" w:hAnsi="仿宋" w:eastAsia="仿宋"/>
          <w:color w:val="auto"/>
          <w:sz w:val="30"/>
          <w:szCs w:val="30"/>
        </w:rPr>
        <w:t>单位</w:t>
      </w:r>
      <w:r>
        <w:rPr>
          <w:rFonts w:ascii="仿宋" w:hAnsi="仿宋" w:eastAsia="仿宋"/>
          <w:color w:val="auto"/>
          <w:sz w:val="30"/>
          <w:szCs w:val="30"/>
        </w:rPr>
        <w:t>：元）</w:t>
      </w:r>
    </w:p>
    <w:tbl>
      <w:tblPr>
        <w:tblStyle w:val="5"/>
        <w:tblW w:w="9804" w:type="dxa"/>
        <w:jc w:val="center"/>
        <w:tblLayout w:type="autofit"/>
        <w:tblCellMar>
          <w:top w:w="0" w:type="dxa"/>
          <w:left w:w="108" w:type="dxa"/>
          <w:bottom w:w="0" w:type="dxa"/>
          <w:right w:w="108" w:type="dxa"/>
        </w:tblCellMar>
      </w:tblPr>
      <w:tblGrid>
        <w:gridCol w:w="2337"/>
        <w:gridCol w:w="2460"/>
        <w:gridCol w:w="2460"/>
        <w:gridCol w:w="2547"/>
      </w:tblGrid>
      <w:tr>
        <w:tblPrEx>
          <w:tblCellMar>
            <w:top w:w="0" w:type="dxa"/>
            <w:left w:w="108" w:type="dxa"/>
            <w:bottom w:w="0" w:type="dxa"/>
            <w:right w:w="108" w:type="dxa"/>
          </w:tblCellMar>
        </w:tblPrEx>
        <w:trPr>
          <w:trHeight w:val="740" w:hRule="atLeast"/>
          <w:jc w:val="center"/>
        </w:trPr>
        <w:tc>
          <w:tcPr>
            <w:tcW w:w="2337" w:type="dxa"/>
            <w:vMerge w:val="restart"/>
            <w:tcBorders>
              <w:top w:val="single" w:color="auto" w:sz="18" w:space="0"/>
              <w:left w:val="single" w:color="auto" w:sz="18"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服务作业内容</w:t>
            </w:r>
          </w:p>
        </w:tc>
        <w:tc>
          <w:tcPr>
            <w:tcW w:w="2460" w:type="dxa"/>
            <w:vMerge w:val="restart"/>
            <w:tcBorders>
              <w:top w:val="single" w:color="auto" w:sz="18"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付费人</w:t>
            </w:r>
          </w:p>
        </w:tc>
        <w:tc>
          <w:tcPr>
            <w:tcW w:w="5007" w:type="dxa"/>
            <w:gridSpan w:val="2"/>
            <w:tcBorders>
              <w:top w:val="single" w:color="auto" w:sz="18" w:space="0"/>
              <w:left w:val="single" w:color="auto" w:sz="4" w:space="0"/>
              <w:bottom w:val="single" w:color="auto" w:sz="4"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收费标准</w:t>
            </w:r>
          </w:p>
        </w:tc>
      </w:tr>
      <w:tr>
        <w:tblPrEx>
          <w:tblCellMar>
            <w:top w:w="0" w:type="dxa"/>
            <w:left w:w="108" w:type="dxa"/>
            <w:bottom w:w="0" w:type="dxa"/>
            <w:right w:w="108" w:type="dxa"/>
          </w:tblCellMar>
        </w:tblPrEx>
        <w:trPr>
          <w:trHeight w:val="724" w:hRule="atLeast"/>
          <w:jc w:val="center"/>
        </w:trPr>
        <w:tc>
          <w:tcPr>
            <w:tcW w:w="2337" w:type="dxa"/>
            <w:vMerge w:val="continue"/>
            <w:tcBorders>
              <w:top w:val="single" w:color="auto" w:sz="8" w:space="0"/>
              <w:left w:val="single" w:color="auto" w:sz="18"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2460" w:type="dxa"/>
            <w:vMerge w:val="continue"/>
            <w:tcBorders>
              <w:top w:val="single" w:color="auto" w:sz="8"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2460" w:type="dxa"/>
            <w:tcBorders>
              <w:top w:val="single" w:color="auto" w:sz="4" w:space="0"/>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20英尺重箱</w:t>
            </w:r>
          </w:p>
        </w:tc>
        <w:tc>
          <w:tcPr>
            <w:tcW w:w="2547" w:type="dxa"/>
            <w:tcBorders>
              <w:top w:val="nil"/>
              <w:left w:val="single" w:color="auto" w:sz="4" w:space="0"/>
              <w:bottom w:val="single" w:color="auto" w:sz="4"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40英尺重箱</w:t>
            </w:r>
          </w:p>
        </w:tc>
      </w:tr>
      <w:tr>
        <w:tblPrEx>
          <w:tblCellMar>
            <w:top w:w="0" w:type="dxa"/>
            <w:left w:w="108" w:type="dxa"/>
            <w:bottom w:w="0" w:type="dxa"/>
            <w:right w:w="108" w:type="dxa"/>
          </w:tblCellMar>
        </w:tblPrEx>
        <w:trPr>
          <w:trHeight w:val="720" w:hRule="atLeast"/>
          <w:jc w:val="center"/>
        </w:trPr>
        <w:tc>
          <w:tcPr>
            <w:tcW w:w="2337" w:type="dxa"/>
            <w:tcBorders>
              <w:top w:val="single" w:color="auto" w:sz="4" w:space="0"/>
              <w:left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港口设施保安</w:t>
            </w:r>
          </w:p>
        </w:tc>
        <w:tc>
          <w:tcPr>
            <w:tcW w:w="2460"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船方/货方</w:t>
            </w:r>
          </w:p>
        </w:tc>
        <w:tc>
          <w:tcPr>
            <w:tcW w:w="2460"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8</w:t>
            </w:r>
          </w:p>
        </w:tc>
        <w:tc>
          <w:tcPr>
            <w:tcW w:w="2547" w:type="dxa"/>
            <w:tcBorders>
              <w:top w:val="nil"/>
              <w:left w:val="single" w:color="auto" w:sz="4" w:space="0"/>
              <w:bottom w:val="single" w:color="auto" w:sz="4"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12</w:t>
            </w:r>
          </w:p>
        </w:tc>
      </w:tr>
      <w:tr>
        <w:tblPrEx>
          <w:tblCellMar>
            <w:top w:w="0" w:type="dxa"/>
            <w:left w:w="108" w:type="dxa"/>
            <w:bottom w:w="0" w:type="dxa"/>
            <w:right w:w="108" w:type="dxa"/>
          </w:tblCellMar>
        </w:tblPrEx>
        <w:trPr>
          <w:trHeight w:val="600" w:hRule="atLeast"/>
          <w:jc w:val="center"/>
        </w:trPr>
        <w:tc>
          <w:tcPr>
            <w:tcW w:w="9804" w:type="dxa"/>
            <w:gridSpan w:val="4"/>
            <w:tcBorders>
              <w:top w:val="single" w:color="auto" w:sz="4" w:space="0"/>
              <w:left w:val="single" w:color="auto" w:sz="18" w:space="0"/>
              <w:bottom w:val="single" w:color="auto" w:sz="18" w:space="0"/>
              <w:right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说明：</w:t>
            </w:r>
          </w:p>
          <w:p>
            <w:pPr>
              <w:keepNext w:val="0"/>
              <w:keepLines w:val="0"/>
              <w:widowControl/>
              <w:suppressLineNumbers w:val="0"/>
              <w:spacing w:before="0" w:beforeAutospacing="0" w:after="0" w:afterAutospacing="0"/>
              <w:ind w:left="0" w:right="0"/>
              <w:jc w:val="left"/>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1.20英尺重箱和40英尺重箱以外的其它非标准集装箱按相近箱型的费率计费。</w:t>
            </w:r>
          </w:p>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2.外贸进、出口集装箱向货方或其代理人收取；外贸进、出口内支线运输集装箱，向承担国际运输段的船方或其代理人收取。</w:t>
            </w:r>
          </w:p>
        </w:tc>
      </w:tr>
    </w:tbl>
    <w:p>
      <w:pPr>
        <w:rPr>
          <w:rFonts w:ascii="仿宋" w:hAnsi="仿宋" w:eastAsia="仿宋"/>
          <w:color w:val="auto"/>
          <w:sz w:val="30"/>
          <w:szCs w:val="30"/>
        </w:rPr>
      </w:pPr>
      <w:bookmarkStart w:id="6" w:name="_GoBack"/>
      <w:bookmarkEnd w:id="6"/>
    </w:p>
    <w:p>
      <w:pPr>
        <w:rPr>
          <w:rFonts w:ascii="仿宋" w:hAnsi="仿宋" w:eastAsia="仿宋"/>
          <w:color w:val="auto"/>
          <w:sz w:val="30"/>
          <w:szCs w:val="30"/>
        </w:rPr>
      </w:pPr>
      <w:r>
        <w:rPr>
          <w:rFonts w:hint="eastAsia" w:ascii="仿宋" w:hAnsi="仿宋" w:eastAsia="仿宋"/>
          <w:color w:val="auto"/>
          <w:sz w:val="30"/>
          <w:szCs w:val="30"/>
        </w:rPr>
        <w:t>（</w:t>
      </w:r>
      <w:r>
        <w:rPr>
          <w:rFonts w:hint="eastAsia" w:ascii="仿宋" w:hAnsi="仿宋" w:eastAsia="仿宋"/>
          <w:color w:val="auto"/>
          <w:sz w:val="30"/>
          <w:szCs w:val="30"/>
          <w:lang w:val="en-US" w:eastAsia="zh-CN"/>
        </w:rPr>
        <w:t>五</w:t>
      </w:r>
      <w:r>
        <w:rPr>
          <w:rFonts w:hint="eastAsia" w:ascii="仿宋" w:hAnsi="仿宋" w:eastAsia="仿宋"/>
          <w:color w:val="auto"/>
          <w:sz w:val="30"/>
          <w:szCs w:val="30"/>
        </w:rPr>
        <w:t>）港口</w:t>
      </w:r>
      <w:r>
        <w:rPr>
          <w:rFonts w:ascii="仿宋" w:hAnsi="仿宋" w:eastAsia="仿宋"/>
          <w:color w:val="auto"/>
          <w:sz w:val="30"/>
          <w:szCs w:val="30"/>
        </w:rPr>
        <w:t>作业包干费</w:t>
      </w:r>
      <w:r>
        <w:rPr>
          <w:rFonts w:hint="eastAsia" w:ascii="仿宋" w:hAnsi="仿宋" w:eastAsia="仿宋"/>
          <w:color w:val="auto"/>
          <w:sz w:val="30"/>
          <w:szCs w:val="30"/>
        </w:rPr>
        <w:t>总表</w:t>
      </w:r>
      <w:r>
        <w:rPr>
          <w:rFonts w:ascii="仿宋" w:hAnsi="仿宋" w:eastAsia="仿宋"/>
          <w:color w:val="auto"/>
          <w:sz w:val="30"/>
          <w:szCs w:val="30"/>
        </w:rPr>
        <w:t>（</w:t>
      </w:r>
      <w:r>
        <w:rPr>
          <w:rFonts w:hint="eastAsia" w:ascii="仿宋" w:hAnsi="仿宋" w:eastAsia="仿宋"/>
          <w:color w:val="auto"/>
          <w:sz w:val="30"/>
          <w:szCs w:val="30"/>
        </w:rPr>
        <w:t>单位</w:t>
      </w:r>
      <w:r>
        <w:rPr>
          <w:rFonts w:ascii="仿宋" w:hAnsi="仿宋" w:eastAsia="仿宋"/>
          <w:color w:val="auto"/>
          <w:sz w:val="30"/>
          <w:szCs w:val="30"/>
        </w:rPr>
        <w:t>：</w:t>
      </w:r>
      <w:r>
        <w:rPr>
          <w:rFonts w:hint="eastAsia" w:ascii="仿宋" w:hAnsi="仿宋" w:eastAsia="仿宋"/>
          <w:color w:val="auto"/>
          <w:sz w:val="30"/>
          <w:szCs w:val="30"/>
        </w:rPr>
        <w:t>元）</w:t>
      </w:r>
    </w:p>
    <w:tbl>
      <w:tblPr>
        <w:tblStyle w:val="5"/>
        <w:tblW w:w="9898" w:type="dxa"/>
        <w:jc w:val="center"/>
        <w:shd w:val="clear" w:color="auto" w:fill="FFFFFF" w:themeFill="background1"/>
        <w:tblLayout w:type="fixed"/>
        <w:tblCellMar>
          <w:top w:w="0" w:type="dxa"/>
          <w:left w:w="0" w:type="dxa"/>
          <w:bottom w:w="0" w:type="dxa"/>
          <w:right w:w="0" w:type="dxa"/>
        </w:tblCellMar>
      </w:tblPr>
      <w:tblGrid>
        <w:gridCol w:w="689"/>
        <w:gridCol w:w="637"/>
        <w:gridCol w:w="1304"/>
        <w:gridCol w:w="1325"/>
        <w:gridCol w:w="1385"/>
        <w:gridCol w:w="838"/>
        <w:gridCol w:w="757"/>
        <w:gridCol w:w="983"/>
        <w:gridCol w:w="1980"/>
      </w:tblGrid>
      <w:tr>
        <w:trPr>
          <w:trHeight w:val="460" w:hRule="atLeast"/>
          <w:jc w:val="center"/>
        </w:trPr>
        <w:tc>
          <w:tcPr>
            <w:tcW w:w="689" w:type="dxa"/>
            <w:vMerge w:val="restart"/>
            <w:tcBorders>
              <w:top w:val="single" w:color="auto" w:sz="18"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0"/>
                <w:sz w:val="30"/>
                <w:szCs w:val="30"/>
              </w:rPr>
            </w:pPr>
            <w:r>
              <w:rPr>
                <w:rFonts w:hint="eastAsia" w:ascii="仿宋" w:hAnsi="仿宋" w:eastAsia="仿宋" w:cs="仿宋"/>
                <w:color w:val="auto"/>
                <w:kern w:val="0"/>
                <w:sz w:val="30"/>
                <w:szCs w:val="30"/>
              </w:rPr>
              <w:t>付</w:t>
            </w:r>
          </w:p>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0"/>
                <w:sz w:val="30"/>
                <w:szCs w:val="30"/>
              </w:rPr>
            </w:pPr>
            <w:r>
              <w:rPr>
                <w:rFonts w:hint="eastAsia" w:ascii="仿宋" w:hAnsi="仿宋" w:eastAsia="仿宋" w:cs="仿宋"/>
                <w:color w:val="auto"/>
                <w:kern w:val="0"/>
                <w:sz w:val="30"/>
                <w:szCs w:val="30"/>
              </w:rPr>
              <w:t>费</w:t>
            </w:r>
          </w:p>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人</w:t>
            </w:r>
          </w:p>
        </w:tc>
        <w:tc>
          <w:tcPr>
            <w:tcW w:w="1941" w:type="dxa"/>
            <w:gridSpan w:val="2"/>
            <w:vMerge w:val="restart"/>
            <w:tcBorders>
              <w:top w:val="single" w:color="auto" w:sz="18"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箱型</w:t>
            </w:r>
          </w:p>
        </w:tc>
        <w:tc>
          <w:tcPr>
            <w:tcW w:w="5288" w:type="dxa"/>
            <w:gridSpan w:val="5"/>
            <w:tcBorders>
              <w:top w:val="single" w:color="auto" w:sz="18"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服务作业内容</w:t>
            </w:r>
          </w:p>
        </w:tc>
        <w:tc>
          <w:tcPr>
            <w:tcW w:w="1980" w:type="dxa"/>
            <w:tcBorders>
              <w:top w:val="single" w:color="auto" w:sz="18" w:space="0"/>
              <w:left w:val="single" w:color="auto" w:sz="4" w:space="0"/>
              <w:bottom w:val="single" w:color="auto" w:sz="4" w:space="0"/>
              <w:right w:val="single" w:color="auto" w:sz="18" w:space="0"/>
            </w:tcBorders>
            <w:shd w:val="clear" w:color="auto" w:fill="FFFFFF" w:themeFill="background1"/>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p>
        </w:tc>
      </w:tr>
      <w:tr>
        <w:tblPrEx>
          <w:tblCellMar>
            <w:top w:w="0" w:type="dxa"/>
            <w:left w:w="0" w:type="dxa"/>
            <w:bottom w:w="0" w:type="dxa"/>
            <w:right w:w="0" w:type="dxa"/>
          </w:tblCellMar>
        </w:tblPrEx>
        <w:trPr>
          <w:trHeight w:val="36" w:hRule="atLeast"/>
          <w:jc w:val="center"/>
        </w:trPr>
        <w:tc>
          <w:tcPr>
            <w:tcW w:w="689" w:type="dxa"/>
            <w:vMerge w:val="continue"/>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1941" w:type="dxa"/>
            <w:gridSpan w:val="2"/>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装/卸船</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场内作业</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sz w:val="30"/>
                <w:szCs w:val="30"/>
              </w:rPr>
              <w:t>辅助  查验</w:t>
            </w: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sz w:val="30"/>
                <w:szCs w:val="30"/>
              </w:rPr>
              <w:t>仓库 服务</w:t>
            </w: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sz w:val="30"/>
                <w:szCs w:val="30"/>
              </w:rPr>
              <w:t>港口设施保安</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vAlign w:val="center"/>
          </w:tcPr>
          <w:p>
            <w:pPr>
              <w:keepNext w:val="0"/>
              <w:keepLines w:val="0"/>
              <w:widowControl/>
              <w:suppressLineNumbers w:val="0"/>
              <w:spacing w:before="0" w:beforeAutospacing="0" w:after="0" w:afterAutospacing="0"/>
              <w:ind w:left="0" w:right="0"/>
              <w:jc w:val="center"/>
              <w:rPr>
                <w:rFonts w:hint="default"/>
                <w:color w:val="auto"/>
                <w:sz w:val="30"/>
                <w:szCs w:val="30"/>
              </w:rPr>
            </w:pPr>
            <w:r>
              <w:rPr>
                <w:rFonts w:hint="eastAsia" w:ascii="仿宋" w:hAnsi="仿宋" w:eastAsia="仿宋" w:cs="仿宋"/>
                <w:color w:val="auto"/>
                <w:sz w:val="30"/>
                <w:szCs w:val="30"/>
              </w:rPr>
              <w:t>合计</w:t>
            </w:r>
          </w:p>
        </w:tc>
      </w:tr>
      <w:tr>
        <w:tblPrEx>
          <w:tblCellMar>
            <w:top w:w="0" w:type="dxa"/>
            <w:left w:w="0" w:type="dxa"/>
            <w:bottom w:w="0" w:type="dxa"/>
            <w:right w:w="0" w:type="dxa"/>
          </w:tblCellMar>
        </w:tblPrEx>
        <w:trPr>
          <w:trHeight w:val="600" w:hRule="atLeast"/>
          <w:jc w:val="center"/>
        </w:trPr>
        <w:tc>
          <w:tcPr>
            <w:tcW w:w="689" w:type="dxa"/>
            <w:vMerge w:val="restart"/>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0"/>
                <w:sz w:val="30"/>
                <w:szCs w:val="30"/>
              </w:rPr>
            </w:pPr>
            <w:r>
              <w:rPr>
                <w:rFonts w:hint="eastAsia" w:ascii="仿宋" w:hAnsi="仿宋" w:eastAsia="仿宋" w:cs="仿宋"/>
                <w:color w:val="auto"/>
                <w:kern w:val="0"/>
                <w:sz w:val="30"/>
                <w:szCs w:val="30"/>
              </w:rPr>
              <w:t>船</w:t>
            </w:r>
          </w:p>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方</w:t>
            </w:r>
          </w:p>
        </w:tc>
        <w:tc>
          <w:tcPr>
            <w:tcW w:w="63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20英尺</w:t>
            </w: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普通重箱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宋体"/>
                <w:color w:val="auto"/>
                <w:kern w:val="0"/>
                <w:sz w:val="30"/>
                <w:szCs w:val="30"/>
              </w:rPr>
              <w:t>539</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kern w:val="0"/>
                <w:sz w:val="30"/>
                <w:szCs w:val="30"/>
                <w:lang w:val="en-US" w:eastAsia="zh-CN"/>
              </w:rPr>
              <w:t>297</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8</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844</w:t>
            </w:r>
          </w:p>
        </w:tc>
      </w:tr>
      <w:tr>
        <w:tblPrEx>
          <w:shd w:val="clear" w:color="auto" w:fill="FFFFFF" w:themeFill="background1"/>
          <w:tblCellMar>
            <w:top w:w="0" w:type="dxa"/>
            <w:left w:w="0" w:type="dxa"/>
            <w:bottom w:w="0" w:type="dxa"/>
            <w:right w:w="0" w:type="dxa"/>
          </w:tblCellMar>
        </w:tblPrEx>
        <w:trPr>
          <w:trHeight w:val="600" w:hRule="atLeast"/>
          <w:jc w:val="center"/>
        </w:trPr>
        <w:tc>
          <w:tcPr>
            <w:tcW w:w="689" w:type="dxa"/>
            <w:vMerge w:val="continue"/>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63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空箱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宋体"/>
                <w:color w:val="auto"/>
                <w:kern w:val="0"/>
                <w:sz w:val="30"/>
                <w:szCs w:val="30"/>
              </w:rPr>
              <w:t>472</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148.5</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200</w:t>
            </w: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820.5</w:t>
            </w:r>
          </w:p>
        </w:tc>
      </w:tr>
      <w:tr>
        <w:tblPrEx>
          <w:tblCellMar>
            <w:top w:w="0" w:type="dxa"/>
            <w:left w:w="0" w:type="dxa"/>
            <w:bottom w:w="0" w:type="dxa"/>
            <w:right w:w="0" w:type="dxa"/>
          </w:tblCellMar>
        </w:tblPrEx>
        <w:trPr>
          <w:trHeight w:val="600" w:hRule="atLeast"/>
          <w:jc w:val="center"/>
        </w:trPr>
        <w:tc>
          <w:tcPr>
            <w:tcW w:w="689" w:type="dxa"/>
            <w:vMerge w:val="continue"/>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63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40英尺</w:t>
            </w: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普通重箱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宋体"/>
                <w:color w:val="auto"/>
                <w:kern w:val="0"/>
                <w:sz w:val="30"/>
                <w:szCs w:val="30"/>
              </w:rPr>
              <w:t>826</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445.8</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12</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1283.8</w:t>
            </w:r>
          </w:p>
        </w:tc>
      </w:tr>
      <w:tr>
        <w:tblPrEx>
          <w:shd w:val="clear" w:color="auto" w:fill="FFFFFF" w:themeFill="background1"/>
          <w:tblCellMar>
            <w:top w:w="0" w:type="dxa"/>
            <w:left w:w="0" w:type="dxa"/>
            <w:bottom w:w="0" w:type="dxa"/>
            <w:right w:w="0" w:type="dxa"/>
          </w:tblCellMar>
        </w:tblPrEx>
        <w:trPr>
          <w:trHeight w:val="600" w:hRule="atLeast"/>
          <w:jc w:val="center"/>
        </w:trPr>
        <w:tc>
          <w:tcPr>
            <w:tcW w:w="689" w:type="dxa"/>
            <w:vMerge w:val="continue"/>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63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空箱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宋体"/>
                <w:color w:val="auto"/>
                <w:kern w:val="0"/>
                <w:sz w:val="30"/>
                <w:szCs w:val="30"/>
              </w:rPr>
              <w:t>707</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kern w:val="0"/>
                <w:sz w:val="30"/>
                <w:szCs w:val="30"/>
                <w:lang w:val="en-US" w:eastAsia="zh-CN"/>
              </w:rPr>
              <w:t>222.9</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300</w:t>
            </w: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1229.9</w:t>
            </w:r>
          </w:p>
        </w:tc>
      </w:tr>
      <w:tr>
        <w:tblPrEx>
          <w:tblCellMar>
            <w:top w:w="0" w:type="dxa"/>
            <w:left w:w="0" w:type="dxa"/>
            <w:bottom w:w="0" w:type="dxa"/>
            <w:right w:w="0" w:type="dxa"/>
          </w:tblCellMar>
        </w:tblPrEx>
        <w:trPr>
          <w:trHeight w:val="600" w:hRule="atLeast"/>
          <w:jc w:val="center"/>
        </w:trPr>
        <w:tc>
          <w:tcPr>
            <w:tcW w:w="689" w:type="dxa"/>
            <w:vMerge w:val="restart"/>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0"/>
                <w:sz w:val="30"/>
                <w:szCs w:val="30"/>
              </w:rPr>
            </w:pPr>
            <w:r>
              <w:rPr>
                <w:rFonts w:hint="eastAsia" w:ascii="仿宋" w:hAnsi="仿宋" w:eastAsia="仿宋" w:cs="仿宋"/>
                <w:color w:val="auto"/>
                <w:kern w:val="0"/>
                <w:sz w:val="30"/>
                <w:szCs w:val="30"/>
              </w:rPr>
              <w:t>货</w:t>
            </w:r>
          </w:p>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方</w:t>
            </w:r>
          </w:p>
        </w:tc>
        <w:tc>
          <w:tcPr>
            <w:tcW w:w="63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20英尺</w:t>
            </w: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普通重箱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747</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900</w:t>
            </w: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700</w:t>
            </w: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sz w:val="30"/>
                <w:szCs w:val="30"/>
              </w:rPr>
              <w:t>8</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2355</w:t>
            </w:r>
          </w:p>
        </w:tc>
      </w:tr>
      <w:tr>
        <w:tblPrEx>
          <w:shd w:val="clear" w:color="auto" w:fill="FFFFFF" w:themeFill="background1"/>
          <w:tblCellMar>
            <w:top w:w="0" w:type="dxa"/>
            <w:left w:w="0" w:type="dxa"/>
            <w:bottom w:w="0" w:type="dxa"/>
            <w:right w:w="0" w:type="dxa"/>
          </w:tblCellMar>
        </w:tblPrEx>
        <w:trPr>
          <w:trHeight w:val="600" w:hRule="atLeast"/>
          <w:jc w:val="center"/>
        </w:trPr>
        <w:tc>
          <w:tcPr>
            <w:tcW w:w="689" w:type="dxa"/>
            <w:vMerge w:val="continue"/>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63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空箱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148.5</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148.5</w:t>
            </w:r>
          </w:p>
        </w:tc>
      </w:tr>
      <w:tr>
        <w:tblPrEx>
          <w:shd w:val="clear" w:color="auto" w:fill="FFFFFF" w:themeFill="background1"/>
          <w:tblCellMar>
            <w:top w:w="0" w:type="dxa"/>
            <w:left w:w="0" w:type="dxa"/>
            <w:bottom w:w="0" w:type="dxa"/>
            <w:right w:w="0" w:type="dxa"/>
          </w:tblCellMar>
        </w:tblPrEx>
        <w:trPr>
          <w:trHeight w:val="600" w:hRule="atLeast"/>
          <w:jc w:val="center"/>
        </w:trPr>
        <w:tc>
          <w:tcPr>
            <w:tcW w:w="689" w:type="dxa"/>
            <w:vMerge w:val="continue"/>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63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40英尺</w:t>
            </w: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普通重箱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930.8</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1650</w:t>
            </w: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1350</w:t>
            </w: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sz w:val="30"/>
                <w:szCs w:val="30"/>
              </w:rPr>
              <w:t>12</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3942.8</w:t>
            </w:r>
          </w:p>
        </w:tc>
      </w:tr>
      <w:tr>
        <w:tblPrEx>
          <w:shd w:val="clear" w:color="auto" w:fill="FFFFFF" w:themeFill="background1"/>
          <w:tblCellMar>
            <w:top w:w="0" w:type="dxa"/>
            <w:left w:w="0" w:type="dxa"/>
            <w:bottom w:w="0" w:type="dxa"/>
            <w:right w:w="0" w:type="dxa"/>
          </w:tblCellMar>
        </w:tblPrEx>
        <w:trPr>
          <w:trHeight w:val="600" w:hRule="atLeast"/>
          <w:jc w:val="center"/>
        </w:trPr>
        <w:tc>
          <w:tcPr>
            <w:tcW w:w="689" w:type="dxa"/>
            <w:vMerge w:val="continue"/>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637"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1304"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空箱</w:t>
            </w:r>
          </w:p>
        </w:tc>
        <w:tc>
          <w:tcPr>
            <w:tcW w:w="132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3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222.9</w:t>
            </w: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p>
        </w:tc>
        <w:tc>
          <w:tcPr>
            <w:tcW w:w="757"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98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rPr>
            </w:pPr>
            <w:r>
              <w:rPr>
                <w:rFonts w:hint="eastAsia" w:ascii="仿宋" w:hAnsi="仿宋" w:eastAsia="仿宋" w:cs="仿宋"/>
                <w:color w:val="auto"/>
                <w:kern w:val="0"/>
                <w:sz w:val="30"/>
                <w:szCs w:val="30"/>
              </w:rPr>
              <w:t>—</w:t>
            </w:r>
          </w:p>
        </w:tc>
        <w:tc>
          <w:tcPr>
            <w:tcW w:w="1980" w:type="dxa"/>
            <w:tcBorders>
              <w:top w:val="single" w:color="auto" w:sz="4" w:space="0"/>
              <w:left w:val="single" w:color="auto" w:sz="4" w:space="0"/>
              <w:bottom w:val="single" w:color="auto" w:sz="4" w:space="0"/>
              <w:right w:val="single" w:color="auto" w:sz="18" w:space="0"/>
            </w:tcBorders>
            <w:shd w:val="clear" w:color="auto" w:fill="FFFFFF" w:themeFill="background1"/>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222.9</w:t>
            </w:r>
          </w:p>
        </w:tc>
      </w:tr>
      <w:tr>
        <w:tblPrEx>
          <w:shd w:val="clear" w:color="auto" w:fill="FFFFFF" w:themeFill="background1"/>
          <w:tblCellMar>
            <w:top w:w="0" w:type="dxa"/>
            <w:left w:w="0" w:type="dxa"/>
            <w:bottom w:w="0" w:type="dxa"/>
            <w:right w:w="0" w:type="dxa"/>
          </w:tblCellMar>
        </w:tblPrEx>
        <w:trPr>
          <w:trHeight w:val="700" w:hRule="atLeast"/>
          <w:jc w:val="center"/>
        </w:trPr>
        <w:tc>
          <w:tcPr>
            <w:tcW w:w="9898" w:type="dxa"/>
            <w:gridSpan w:val="9"/>
            <w:vMerge w:val="restart"/>
            <w:tcBorders>
              <w:top w:val="single" w:color="auto" w:sz="4" w:space="0"/>
              <w:left w:val="single" w:color="auto" w:sz="18" w:space="0"/>
              <w:bottom w:val="single" w:color="auto" w:sz="18" w:space="0"/>
              <w:right w:val="single" w:color="auto" w:sz="18" w:space="0"/>
            </w:tcBorders>
            <w:shd w:val="clear" w:color="auto" w:fill="FFFFFF" w:themeFill="background1"/>
            <w:tcMar>
              <w:top w:w="15" w:type="dxa"/>
              <w:left w:w="15" w:type="dxa"/>
              <w:right w:w="15" w:type="dxa"/>
            </w:tcMar>
            <w:vAlign w:val="center"/>
          </w:tcPr>
          <w:p>
            <w:pPr>
              <w:keepNext w:val="0"/>
              <w:keepLines w:val="0"/>
              <w:widowControl/>
              <w:numPr>
                <w:ilvl w:val="0"/>
                <w:numId w:val="0"/>
              </w:numPr>
              <w:suppressLineNumbers w:val="0"/>
              <w:spacing w:before="0" w:beforeAutospacing="0" w:after="0" w:afterAutospacing="0"/>
              <w:ind w:left="0" w:leftChars="0" w:right="0"/>
              <w:jc w:val="left"/>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rPr>
              <w:t>说明：</w:t>
            </w:r>
          </w:p>
          <w:p>
            <w:pPr>
              <w:keepNext w:val="0"/>
              <w:keepLines w:val="0"/>
              <w:widowControl/>
              <w:numPr>
                <w:ilvl w:val="0"/>
                <w:numId w:val="0"/>
              </w:numPr>
              <w:suppressLineNumbers w:val="0"/>
              <w:spacing w:before="0" w:beforeAutospacing="0" w:after="0" w:afterAutospacing="0"/>
              <w:ind w:left="0" w:right="0"/>
              <w:jc w:val="left"/>
              <w:rPr>
                <w:rFonts w:hint="eastAsia" w:ascii="仿宋" w:hAnsi="仿宋" w:eastAsia="仿宋" w:cs="仿宋"/>
                <w:color w:val="auto"/>
                <w:kern w:val="0"/>
                <w:sz w:val="30"/>
                <w:szCs w:val="30"/>
                <w:lang w:eastAsia="zh-CN"/>
              </w:rPr>
            </w:pPr>
            <w:r>
              <w:rPr>
                <w:rFonts w:hint="eastAsia" w:ascii="仿宋" w:hAnsi="仿宋" w:eastAsia="仿宋" w:cs="仿宋"/>
                <w:color w:val="auto"/>
                <w:kern w:val="0"/>
                <w:sz w:val="30"/>
                <w:szCs w:val="30"/>
              </w:rPr>
              <w:t>1.冷藏、危险品等不同箱型的集装箱以及不同作业方式等加收部分收费分别按港口作业包干费各服务作业标准执行。箱型加收的优先级：尺寸-超限（超重）-箱型（先冷藏后危险品）。</w:t>
            </w:r>
          </w:p>
          <w:p>
            <w:pPr>
              <w:keepNext w:val="0"/>
              <w:keepLines w:val="0"/>
              <w:widowControl/>
              <w:numPr>
                <w:ilvl w:val="0"/>
                <w:numId w:val="0"/>
              </w:numPr>
              <w:suppressLineNumbers w:val="0"/>
              <w:spacing w:before="0" w:beforeAutospacing="0" w:after="0" w:afterAutospacing="0"/>
              <w:ind w:left="0" w:leftChars="0" w:right="0"/>
              <w:jc w:val="left"/>
              <w:rPr>
                <w:rFonts w:hint="eastAsia" w:ascii="仿宋" w:hAnsi="仿宋" w:eastAsia="仿宋" w:cs="仿宋"/>
                <w:color w:val="auto"/>
                <w:kern w:val="0"/>
                <w:sz w:val="30"/>
                <w:szCs w:val="30"/>
                <w:lang w:eastAsia="zh-CN"/>
              </w:rPr>
            </w:pPr>
            <w:r>
              <w:rPr>
                <w:rFonts w:hint="eastAsia" w:ascii="仿宋" w:hAnsi="仿宋" w:eastAsia="仿宋" w:cs="仿宋"/>
                <w:color w:val="auto"/>
                <w:kern w:val="0"/>
                <w:sz w:val="30"/>
                <w:szCs w:val="30"/>
              </w:rPr>
              <w:t>2.若查验时产生压车板，按300元/箱/次加收港口作业包干费</w:t>
            </w:r>
            <w:r>
              <w:rPr>
                <w:rFonts w:hint="eastAsia" w:ascii="仿宋" w:hAnsi="仿宋" w:eastAsia="仿宋" w:cs="仿宋"/>
                <w:color w:val="auto"/>
                <w:kern w:val="0"/>
                <w:sz w:val="30"/>
                <w:szCs w:val="30"/>
                <w:lang w:eastAsia="zh-CN"/>
              </w:rPr>
              <w:t>。</w:t>
            </w:r>
          </w:p>
          <w:p>
            <w:pPr>
              <w:keepNext w:val="0"/>
              <w:keepLines w:val="0"/>
              <w:widowControl/>
              <w:numPr>
                <w:ilvl w:val="0"/>
                <w:numId w:val="0"/>
              </w:numPr>
              <w:suppressLineNumbers w:val="0"/>
              <w:spacing w:before="0" w:beforeAutospacing="0" w:after="0" w:afterAutospacing="0"/>
              <w:ind w:left="0" w:leftChars="0" w:right="0"/>
              <w:jc w:val="left"/>
              <w:rPr>
                <w:rFonts w:hint="default" w:ascii="仿宋" w:hAnsi="仿宋" w:eastAsia="仿宋" w:cs="仿宋"/>
                <w:color w:val="auto"/>
                <w:sz w:val="30"/>
                <w:szCs w:val="30"/>
              </w:rPr>
            </w:pPr>
            <w:r>
              <w:rPr>
                <w:rFonts w:hint="eastAsia" w:ascii="仿宋" w:hAnsi="仿宋" w:eastAsia="仿宋" w:cs="仿宋"/>
                <w:color w:val="auto"/>
                <w:kern w:val="0"/>
                <w:sz w:val="30"/>
                <w:szCs w:val="30"/>
              </w:rPr>
              <w:t>3.若出现本费率表未公布的特殊作业，与委托方自行协商，按协议约定计收。</w:t>
            </w:r>
          </w:p>
        </w:tc>
      </w:tr>
      <w:tr>
        <w:tblPrEx>
          <w:shd w:val="clear" w:color="auto" w:fill="FFFFFF" w:themeFill="background1"/>
          <w:tblCellMar>
            <w:top w:w="0" w:type="dxa"/>
            <w:left w:w="0" w:type="dxa"/>
            <w:bottom w:w="0" w:type="dxa"/>
            <w:right w:w="0" w:type="dxa"/>
          </w:tblCellMar>
        </w:tblPrEx>
        <w:trPr>
          <w:trHeight w:val="700" w:hRule="atLeast"/>
          <w:jc w:val="center"/>
        </w:trPr>
        <w:tc>
          <w:tcPr>
            <w:tcW w:w="9898" w:type="dxa"/>
            <w:gridSpan w:val="9"/>
            <w:vMerge w:val="continue"/>
            <w:tcBorders>
              <w:top w:val="single" w:color="auto" w:sz="18" w:space="0"/>
              <w:left w:val="single" w:color="auto" w:sz="18" w:space="0"/>
              <w:bottom w:val="single" w:color="auto" w:sz="18" w:space="0"/>
              <w:right w:val="single" w:color="auto" w:sz="18"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ascii="仿宋" w:hAnsi="仿宋" w:eastAsia="仿宋" w:cs="仿宋"/>
                <w:color w:val="auto"/>
                <w:sz w:val="30"/>
                <w:szCs w:val="30"/>
              </w:rPr>
            </w:pPr>
          </w:p>
        </w:tc>
      </w:tr>
      <w:tr>
        <w:tblPrEx>
          <w:tblCellMar>
            <w:top w:w="0" w:type="dxa"/>
            <w:left w:w="0" w:type="dxa"/>
            <w:bottom w:w="0" w:type="dxa"/>
            <w:right w:w="0" w:type="dxa"/>
          </w:tblCellMar>
        </w:tblPrEx>
        <w:trPr>
          <w:trHeight w:val="700" w:hRule="atLeast"/>
          <w:jc w:val="center"/>
        </w:trPr>
        <w:tc>
          <w:tcPr>
            <w:tcW w:w="9898" w:type="dxa"/>
            <w:gridSpan w:val="9"/>
            <w:vMerge w:val="continue"/>
            <w:tcBorders>
              <w:top w:val="single" w:color="auto" w:sz="18" w:space="0"/>
              <w:left w:val="single" w:color="auto" w:sz="18" w:space="0"/>
              <w:bottom w:val="single" w:color="auto" w:sz="18" w:space="0"/>
              <w:right w:val="single" w:color="auto" w:sz="18"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ascii="仿宋" w:hAnsi="仿宋" w:eastAsia="仿宋" w:cs="仿宋"/>
                <w:color w:val="auto"/>
                <w:sz w:val="30"/>
                <w:szCs w:val="30"/>
              </w:rPr>
            </w:pPr>
          </w:p>
        </w:tc>
      </w:tr>
      <w:tr>
        <w:tblPrEx>
          <w:shd w:val="clear" w:color="auto" w:fill="FFFFFF" w:themeFill="background1"/>
          <w:tblCellMar>
            <w:top w:w="0" w:type="dxa"/>
            <w:left w:w="0" w:type="dxa"/>
            <w:bottom w:w="0" w:type="dxa"/>
            <w:right w:w="0" w:type="dxa"/>
          </w:tblCellMar>
        </w:tblPrEx>
        <w:trPr>
          <w:trHeight w:val="700" w:hRule="atLeast"/>
          <w:jc w:val="center"/>
        </w:trPr>
        <w:tc>
          <w:tcPr>
            <w:tcW w:w="9898" w:type="dxa"/>
            <w:gridSpan w:val="9"/>
            <w:vMerge w:val="continue"/>
            <w:tcBorders>
              <w:top w:val="single" w:color="auto" w:sz="18" w:space="0"/>
              <w:left w:val="single" w:color="auto" w:sz="18" w:space="0"/>
              <w:bottom w:val="single" w:color="auto" w:sz="18" w:space="0"/>
              <w:right w:val="single" w:color="auto" w:sz="18" w:space="0"/>
            </w:tcBorders>
            <w:shd w:val="clear" w:color="auto" w:fill="FFFFFF" w:themeFill="background1"/>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ascii="仿宋" w:hAnsi="仿宋" w:eastAsia="仿宋" w:cs="仿宋"/>
                <w:color w:val="auto"/>
                <w:sz w:val="30"/>
                <w:szCs w:val="30"/>
              </w:rPr>
            </w:pPr>
          </w:p>
        </w:tc>
      </w:tr>
    </w:tbl>
    <w:p>
      <w:pPr>
        <w:rPr>
          <w:rFonts w:ascii="仿宋" w:hAnsi="仿宋" w:eastAsia="仿宋"/>
          <w:color w:val="auto"/>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ind w:firstLine="301" w:firstLineChars="100"/>
        <w:jc w:val="both"/>
        <w:rPr>
          <w:rFonts w:hint="eastAsia" w:ascii="仿宋" w:hAnsi="仿宋" w:eastAsia="仿宋"/>
          <w:b/>
          <w:color w:val="auto"/>
          <w:sz w:val="30"/>
          <w:szCs w:val="30"/>
        </w:rPr>
      </w:pPr>
      <w:r>
        <w:rPr>
          <w:rFonts w:hint="eastAsia" w:ascii="仿宋" w:hAnsi="仿宋" w:eastAsia="仿宋"/>
          <w:b/>
          <w:color w:val="auto"/>
          <w:sz w:val="30"/>
          <w:szCs w:val="30"/>
        </w:rPr>
        <w:t>三、库场使用费（单位：元）</w:t>
      </w:r>
    </w:p>
    <w:p>
      <w:pPr>
        <w:jc w:val="left"/>
        <w:rPr>
          <w:rFonts w:ascii="仿宋" w:hAnsi="仿宋" w:eastAsia="仿宋"/>
          <w:color w:val="auto"/>
          <w:sz w:val="30"/>
          <w:szCs w:val="30"/>
        </w:rPr>
      </w:pPr>
      <w:r>
        <w:rPr>
          <w:rFonts w:hint="eastAsia" w:ascii="仿宋" w:hAnsi="仿宋" w:eastAsia="仿宋"/>
          <w:color w:val="auto"/>
          <w:sz w:val="30"/>
          <w:szCs w:val="30"/>
        </w:rPr>
        <w:t>（一）集装箱堆存</w:t>
      </w:r>
    </w:p>
    <w:tbl>
      <w:tblPr>
        <w:tblStyle w:val="5"/>
        <w:tblW w:w="10075"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autofit"/>
        <w:tblCellMar>
          <w:top w:w="0" w:type="dxa"/>
          <w:left w:w="108" w:type="dxa"/>
          <w:bottom w:w="0" w:type="dxa"/>
          <w:right w:w="108" w:type="dxa"/>
        </w:tblCellMar>
      </w:tblPr>
      <w:tblGrid>
        <w:gridCol w:w="5671"/>
        <w:gridCol w:w="1134"/>
        <w:gridCol w:w="1134"/>
        <w:gridCol w:w="1134"/>
        <w:gridCol w:w="1002"/>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5671" w:type="dxa"/>
            <w:vMerge w:val="restart"/>
            <w:tcBorders>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箱  型</w:t>
            </w:r>
          </w:p>
        </w:tc>
        <w:tc>
          <w:tcPr>
            <w:tcW w:w="2268" w:type="dxa"/>
            <w:gridSpan w:val="2"/>
            <w:tcBorders>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20英尺</w:t>
            </w:r>
          </w:p>
        </w:tc>
        <w:tc>
          <w:tcPr>
            <w:tcW w:w="2136" w:type="dxa"/>
            <w:gridSpan w:val="2"/>
            <w:tcBorders>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40英尺</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5671" w:type="dxa"/>
            <w:vMerge w:val="continue"/>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auto"/>
                <w:kern w:val="0"/>
                <w:sz w:val="30"/>
                <w:szCs w:val="30"/>
              </w:rPr>
            </w:pPr>
          </w:p>
        </w:tc>
        <w:tc>
          <w:tcPr>
            <w:tcW w:w="113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重箱</w:t>
            </w:r>
          </w:p>
        </w:tc>
        <w:tc>
          <w:tcPr>
            <w:tcW w:w="113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空箱</w:t>
            </w:r>
          </w:p>
        </w:tc>
        <w:tc>
          <w:tcPr>
            <w:tcW w:w="1134"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重箱</w:t>
            </w:r>
          </w:p>
        </w:tc>
        <w:tc>
          <w:tcPr>
            <w:tcW w:w="1002" w:type="dxa"/>
            <w:tcBorders>
              <w:top w:val="single" w:color="auto" w:sz="4" w:space="0"/>
              <w:left w:val="single" w:color="auto" w:sz="4" w:space="0"/>
              <w:bottom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空箱</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5671" w:type="dxa"/>
            <w:tcBorders>
              <w:top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内外贸进出口普通、冷藏箱</w:t>
            </w:r>
          </w:p>
        </w:tc>
        <w:tc>
          <w:tcPr>
            <w:tcW w:w="1134"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4</w:t>
            </w:r>
          </w:p>
        </w:tc>
        <w:tc>
          <w:tcPr>
            <w:tcW w:w="1134"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lang w:val="en-US" w:eastAsia="zh-CN"/>
              </w:rPr>
              <w:t>4</w:t>
            </w:r>
          </w:p>
        </w:tc>
        <w:tc>
          <w:tcPr>
            <w:tcW w:w="1134" w:type="dxa"/>
            <w:tcBorders>
              <w:top w:val="single" w:color="auto" w:sz="4" w:space="0"/>
              <w:left w:val="single" w:color="auto" w:sz="4" w:space="0"/>
              <w:bottom w:val="single" w:color="auto" w:sz="18" w:space="0"/>
              <w:right w:val="single" w:color="auto" w:sz="4"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auto"/>
                <w:kern w:val="0"/>
                <w:sz w:val="30"/>
                <w:szCs w:val="30"/>
              </w:rPr>
            </w:pPr>
            <w:r>
              <w:rPr>
                <w:rFonts w:hint="eastAsia" w:ascii="仿宋" w:hAnsi="仿宋" w:eastAsia="仿宋" w:cs="宋体"/>
                <w:color w:val="auto"/>
                <w:kern w:val="0"/>
                <w:sz w:val="30"/>
                <w:szCs w:val="30"/>
              </w:rPr>
              <w:t>8</w:t>
            </w:r>
          </w:p>
        </w:tc>
        <w:tc>
          <w:tcPr>
            <w:tcW w:w="1002" w:type="dxa"/>
            <w:tcBorders>
              <w:top w:val="single" w:color="auto" w:sz="4" w:space="0"/>
              <w:left w:val="single" w:color="auto" w:sz="4" w:space="0"/>
              <w:bottom w:val="single" w:color="auto" w:sz="18" w:space="0"/>
            </w:tcBorders>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 w:val="30"/>
                <w:szCs w:val="30"/>
                <w:lang w:eastAsia="zh-CN"/>
              </w:rPr>
            </w:pPr>
            <w:r>
              <w:rPr>
                <w:rFonts w:hint="eastAsia" w:ascii="仿宋" w:hAnsi="仿宋" w:eastAsia="仿宋" w:cs="宋体"/>
                <w:color w:val="auto"/>
                <w:kern w:val="0"/>
                <w:sz w:val="30"/>
                <w:szCs w:val="30"/>
                <w:lang w:val="en-US" w:eastAsia="zh-CN"/>
              </w:rPr>
              <w:t>8</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1408" w:hRule="atLeast"/>
          <w:jc w:val="center"/>
        </w:trPr>
        <w:tc>
          <w:tcPr>
            <w:tcW w:w="10075" w:type="dxa"/>
            <w:gridSpan w:val="5"/>
            <w:tcBorders>
              <w:top w:val="single" w:color="auto" w:sz="18" w:space="0"/>
              <w:tl2br w:val="nil"/>
              <w:tr2bl w:val="nil"/>
            </w:tcBorders>
            <w:shd w:val="clear" w:color="000000" w:fill="FFFFFF"/>
            <w:vAlign w:val="center"/>
          </w:tcPr>
          <w:p>
            <w:pPr>
              <w:keepNext w:val="0"/>
              <w:keepLines w:val="0"/>
              <w:widowControl/>
              <w:numPr>
                <w:ilvl w:val="0"/>
                <w:numId w:val="0"/>
              </w:numPr>
              <w:suppressLineNumbers w:val="0"/>
              <w:spacing w:before="0" w:beforeAutospacing="0" w:after="0" w:afterAutospacing="0"/>
              <w:ind w:left="0" w:leftChars="0" w:right="0"/>
              <w:jc w:val="left"/>
              <w:rPr>
                <w:rFonts w:hint="eastAsia" w:ascii="仿宋" w:hAnsi="仿宋" w:eastAsia="仿宋" w:cs="宋体"/>
                <w:color w:val="auto"/>
                <w:kern w:val="0"/>
                <w:sz w:val="30"/>
                <w:szCs w:val="30"/>
              </w:rPr>
            </w:pPr>
            <w:r>
              <w:rPr>
                <w:rFonts w:hint="eastAsia" w:ascii="仿宋" w:hAnsi="仿宋" w:eastAsia="仿宋" w:cs="宋体"/>
                <w:color w:val="auto"/>
                <w:kern w:val="0"/>
                <w:sz w:val="30"/>
                <w:szCs w:val="30"/>
                <w:lang w:val="en-US" w:eastAsia="zh-CN"/>
              </w:rPr>
              <w:t>说明：</w:t>
            </w:r>
            <w:r>
              <w:rPr>
                <w:rFonts w:hint="eastAsia" w:ascii="仿宋" w:hAnsi="仿宋" w:eastAsia="仿宋" w:cs="宋体"/>
                <w:color w:val="auto"/>
                <w:kern w:val="0"/>
                <w:sz w:val="30"/>
                <w:szCs w:val="30"/>
              </w:rPr>
              <w:t>1.危险品重箱另计。</w:t>
            </w:r>
          </w:p>
          <w:p>
            <w:pPr>
              <w:keepNext w:val="0"/>
              <w:keepLines w:val="0"/>
              <w:widowControl/>
              <w:numPr>
                <w:ilvl w:val="0"/>
                <w:numId w:val="0"/>
              </w:numPr>
              <w:suppressLineNumbers w:val="0"/>
              <w:spacing w:before="0" w:beforeAutospacing="0" w:after="0" w:afterAutospacing="0"/>
              <w:ind w:left="0" w:leftChars="0" w:right="0"/>
              <w:jc w:val="left"/>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2.在港口堆存的集装箱，按下列规定计收库场使用费，除危险品重箱以外，进口集装箱免堆4天；出口集装箱免堆2天；中转箱免堆14天；退关集装箱无免堆期；免堆期后按实际堆存天数计收库场使用费。</w:t>
            </w:r>
          </w:p>
          <w:p>
            <w:pPr>
              <w:keepNext w:val="0"/>
              <w:keepLines w:val="0"/>
              <w:widowControl/>
              <w:numPr>
                <w:ilvl w:val="0"/>
                <w:numId w:val="0"/>
              </w:numPr>
              <w:suppressLineNumbers w:val="0"/>
              <w:spacing w:before="0" w:beforeAutospacing="0" w:after="0" w:afterAutospacing="0"/>
              <w:ind w:left="0" w:leftChars="0" w:right="0"/>
              <w:jc w:val="left"/>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3.45英尺及以上库场使用费按相应箱型加收100%；超限箱按相应箱型5倍计收。冷代干集装箱（冷藏箱装载普通货物）按普通箱型收取。</w:t>
            </w:r>
          </w:p>
          <w:p>
            <w:pPr>
              <w:keepNext w:val="0"/>
              <w:keepLines w:val="0"/>
              <w:widowControl/>
              <w:numPr>
                <w:ilvl w:val="0"/>
                <w:numId w:val="0"/>
              </w:numPr>
              <w:suppressLineNumbers w:val="0"/>
              <w:spacing w:before="0" w:beforeAutospacing="0" w:after="0" w:afterAutospacing="0"/>
              <w:ind w:left="0" w:leftChars="0" w:right="0"/>
              <w:jc w:val="left"/>
              <w:rPr>
                <w:rFonts w:hint="eastAsia" w:ascii="仿宋" w:hAnsi="仿宋" w:eastAsia="仿宋" w:cs="宋体"/>
                <w:color w:val="auto"/>
                <w:kern w:val="0"/>
                <w:sz w:val="30"/>
                <w:szCs w:val="30"/>
              </w:rPr>
            </w:pPr>
            <w:r>
              <w:rPr>
                <w:rFonts w:hint="eastAsia" w:ascii="仿宋" w:hAnsi="仿宋" w:eastAsia="仿宋" w:cs="宋体"/>
                <w:color w:val="auto"/>
                <w:kern w:val="0"/>
                <w:sz w:val="30"/>
                <w:szCs w:val="30"/>
              </w:rPr>
              <w:t>4.冷藏重箱另行计收发生制冷的供电费。</w:t>
            </w:r>
          </w:p>
        </w:tc>
      </w:tr>
    </w:tbl>
    <w:p>
      <w:pPr>
        <w:rPr>
          <w:rFonts w:hint="eastAsia" w:ascii="仿宋" w:hAnsi="仿宋" w:eastAsia="仿宋"/>
          <w:color w:val="auto"/>
          <w:sz w:val="30"/>
          <w:szCs w:val="30"/>
        </w:rPr>
      </w:pPr>
    </w:p>
    <w:p>
      <w:pPr>
        <w:rPr>
          <w:rFonts w:ascii="仿宋" w:hAnsi="仿宋" w:eastAsia="仿宋"/>
          <w:color w:val="auto"/>
          <w:sz w:val="30"/>
          <w:szCs w:val="30"/>
        </w:rPr>
      </w:pPr>
      <w:r>
        <w:rPr>
          <w:rFonts w:hint="eastAsia" w:ascii="仿宋" w:hAnsi="仿宋" w:eastAsia="仿宋"/>
          <w:color w:val="auto"/>
          <w:sz w:val="30"/>
          <w:szCs w:val="30"/>
        </w:rPr>
        <w:t>(二)集装箱货物查验入库堆存</w:t>
      </w:r>
    </w:p>
    <w:tbl>
      <w:tblPr>
        <w:tblStyle w:val="5"/>
        <w:tblW w:w="10057"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2920"/>
        <w:gridCol w:w="2733"/>
        <w:gridCol w:w="1523"/>
        <w:gridCol w:w="2881"/>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523" w:hRule="atLeast"/>
          <w:jc w:val="center"/>
        </w:trPr>
        <w:tc>
          <w:tcPr>
            <w:tcW w:w="2920" w:type="dxa"/>
            <w:tcBorders>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30"/>
                <w:szCs w:val="30"/>
              </w:rPr>
            </w:pPr>
            <w:r>
              <w:rPr>
                <w:rFonts w:hint="eastAsia" w:ascii="仿宋" w:hAnsi="仿宋" w:eastAsia="仿宋" w:cs="宋体"/>
                <w:color w:val="auto"/>
                <w:sz w:val="30"/>
                <w:szCs w:val="30"/>
              </w:rPr>
              <w:t>服务内容</w:t>
            </w:r>
            <w:r>
              <w:rPr>
                <w:rFonts w:hint="eastAsia" w:ascii="仿宋" w:hAnsi="仿宋" w:eastAsia="仿宋" w:cs="Arial"/>
                <w:color w:val="auto"/>
                <w:sz w:val="30"/>
                <w:szCs w:val="30"/>
              </w:rPr>
              <w:t xml:space="preserve"> </w:t>
            </w:r>
          </w:p>
        </w:tc>
        <w:tc>
          <w:tcPr>
            <w:tcW w:w="4256" w:type="dxa"/>
            <w:gridSpan w:val="2"/>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30"/>
                <w:szCs w:val="30"/>
              </w:rPr>
            </w:pPr>
            <w:r>
              <w:rPr>
                <w:rFonts w:hint="eastAsia" w:ascii="仿宋" w:hAnsi="仿宋" w:eastAsia="仿宋" w:cs="宋体"/>
                <w:color w:val="auto"/>
                <w:sz w:val="30"/>
                <w:szCs w:val="30"/>
              </w:rPr>
              <w:t>收费标准</w:t>
            </w:r>
          </w:p>
        </w:tc>
        <w:tc>
          <w:tcPr>
            <w:tcW w:w="2881" w:type="dxa"/>
            <w:tcBorders>
              <w:left w:val="single" w:color="auto" w:sz="4" w:space="0"/>
              <w:bottom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eastAsia" w:ascii="仿宋" w:hAnsi="仿宋" w:eastAsia="仿宋" w:cs="宋体"/>
                <w:color w:val="auto"/>
                <w:sz w:val="30"/>
                <w:szCs w:val="30"/>
              </w:rPr>
            </w:pPr>
            <w:r>
              <w:rPr>
                <w:rFonts w:hint="eastAsia" w:ascii="仿宋" w:hAnsi="仿宋" w:eastAsia="仿宋" w:cs="宋体"/>
                <w:color w:val="auto"/>
                <w:sz w:val="30"/>
                <w:szCs w:val="30"/>
              </w:rPr>
              <w:t>单位</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PrEx>
        <w:trPr>
          <w:trHeight w:val="725" w:hRule="atLeast"/>
          <w:jc w:val="center"/>
        </w:trPr>
        <w:tc>
          <w:tcPr>
            <w:tcW w:w="2920" w:type="dxa"/>
            <w:vMerge w:val="restart"/>
            <w:tcBorders>
              <w:top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30"/>
                <w:szCs w:val="30"/>
              </w:rPr>
            </w:pPr>
            <w:r>
              <w:rPr>
                <w:rFonts w:hint="eastAsia" w:ascii="仿宋" w:hAnsi="仿宋" w:eastAsia="仿宋"/>
                <w:color w:val="auto"/>
                <w:sz w:val="30"/>
                <w:szCs w:val="30"/>
              </w:rPr>
              <w:t>集装箱查验货物入库堆存</w:t>
            </w:r>
          </w:p>
        </w:tc>
        <w:tc>
          <w:tcPr>
            <w:tcW w:w="27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left"/>
              <w:rPr>
                <w:rFonts w:hint="default" w:ascii="仿宋" w:hAnsi="仿宋" w:eastAsia="仿宋" w:cs="宋体"/>
                <w:color w:val="auto"/>
                <w:sz w:val="30"/>
                <w:szCs w:val="30"/>
              </w:rPr>
            </w:pPr>
            <w:r>
              <w:rPr>
                <w:rFonts w:hint="eastAsia" w:ascii="仿宋" w:hAnsi="仿宋" w:eastAsia="仿宋" w:cs="宋体"/>
                <w:color w:val="auto"/>
                <w:sz w:val="30"/>
                <w:szCs w:val="30"/>
              </w:rPr>
              <w:t>最高免堆期7天</w:t>
            </w:r>
          </w:p>
        </w:tc>
        <w:tc>
          <w:tcPr>
            <w:tcW w:w="15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30"/>
                <w:szCs w:val="30"/>
              </w:rPr>
            </w:pPr>
            <w:r>
              <w:rPr>
                <w:rFonts w:hint="eastAsia" w:ascii="仿宋" w:hAnsi="仿宋" w:eastAsia="仿宋" w:cs="宋体"/>
                <w:color w:val="auto"/>
                <w:sz w:val="30"/>
                <w:szCs w:val="30"/>
              </w:rPr>
              <w:t>1</w:t>
            </w:r>
          </w:p>
        </w:tc>
        <w:tc>
          <w:tcPr>
            <w:tcW w:w="2881" w:type="dxa"/>
            <w:vMerge w:val="restart"/>
            <w:tcBorders>
              <w:top w:val="single" w:color="auto" w:sz="4" w:space="0"/>
              <w:left w:val="single" w:color="auto" w:sz="4" w:space="0"/>
              <w:bottom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eastAsia" w:ascii="仿宋" w:hAnsi="仿宋" w:eastAsia="仿宋" w:cs="宋体"/>
                <w:color w:val="auto"/>
                <w:sz w:val="30"/>
                <w:szCs w:val="30"/>
              </w:rPr>
            </w:pPr>
            <w:r>
              <w:rPr>
                <w:rFonts w:hint="eastAsia" w:ascii="仿宋" w:hAnsi="仿宋" w:eastAsia="仿宋" w:cs="宋体"/>
                <w:color w:val="auto"/>
                <w:sz w:val="30"/>
                <w:szCs w:val="30"/>
              </w:rPr>
              <w:t>立方/天或吨/天（择大计算）</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2920" w:type="dxa"/>
            <w:vMerge w:val="continue"/>
            <w:tcBorders>
              <w:top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eastAsia" w:ascii="仿宋" w:hAnsi="仿宋" w:eastAsia="仿宋"/>
                <w:color w:val="auto"/>
                <w:sz w:val="30"/>
                <w:szCs w:val="30"/>
              </w:rPr>
            </w:pPr>
          </w:p>
        </w:tc>
        <w:tc>
          <w:tcPr>
            <w:tcW w:w="27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left"/>
              <w:rPr>
                <w:rFonts w:hint="eastAsia" w:ascii="仿宋" w:hAnsi="仿宋" w:eastAsia="仿宋" w:cs="宋体"/>
                <w:color w:val="auto"/>
                <w:sz w:val="30"/>
                <w:szCs w:val="30"/>
              </w:rPr>
            </w:pPr>
            <w:r>
              <w:rPr>
                <w:rFonts w:hint="eastAsia" w:ascii="仿宋" w:hAnsi="仿宋" w:eastAsia="仿宋" w:cs="宋体"/>
                <w:color w:val="auto"/>
                <w:sz w:val="30"/>
                <w:szCs w:val="30"/>
              </w:rPr>
              <w:t>货物超过1个月发生位移计收盘栈</w:t>
            </w:r>
          </w:p>
        </w:tc>
        <w:tc>
          <w:tcPr>
            <w:tcW w:w="15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eastAsia" w:ascii="仿宋" w:hAnsi="仿宋" w:eastAsia="仿宋" w:cs="宋体"/>
                <w:color w:val="auto"/>
                <w:sz w:val="30"/>
                <w:szCs w:val="30"/>
              </w:rPr>
            </w:pPr>
            <w:r>
              <w:rPr>
                <w:rFonts w:hint="eastAsia" w:ascii="仿宋" w:hAnsi="仿宋" w:eastAsia="仿宋" w:cs="宋体"/>
                <w:color w:val="auto"/>
                <w:sz w:val="30"/>
                <w:szCs w:val="30"/>
              </w:rPr>
              <w:t>5</w:t>
            </w:r>
          </w:p>
        </w:tc>
        <w:tc>
          <w:tcPr>
            <w:tcW w:w="2881" w:type="dxa"/>
            <w:vMerge w:val="continue"/>
            <w:tcBorders>
              <w:top w:val="single" w:color="auto" w:sz="4" w:space="0"/>
              <w:left w:val="single" w:color="auto" w:sz="4" w:space="0"/>
              <w:bottom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eastAsia" w:ascii="仿宋" w:hAnsi="仿宋" w:eastAsia="仿宋" w:cs="宋体"/>
                <w:color w:val="auto"/>
                <w:sz w:val="30"/>
                <w:szCs w:val="30"/>
              </w:rPr>
            </w:pP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057" w:type="dxa"/>
            <w:gridSpan w:val="4"/>
            <w:tcBorders>
              <w:top w:val="single" w:color="auto" w:sz="4" w:space="0"/>
            </w:tcBorders>
          </w:tcPr>
          <w:p>
            <w:pPr>
              <w:keepNext w:val="0"/>
              <w:keepLines w:val="0"/>
              <w:suppressLineNumbers w:val="0"/>
              <w:spacing w:before="0" w:beforeAutospacing="0" w:after="0" w:afterAutospacing="0"/>
              <w:ind w:left="142" w:right="0"/>
              <w:rPr>
                <w:rFonts w:hint="default" w:ascii="仿宋" w:hAnsi="仿宋" w:eastAsia="仿宋"/>
                <w:color w:val="auto"/>
                <w:sz w:val="30"/>
                <w:szCs w:val="30"/>
              </w:rPr>
            </w:pPr>
            <w:r>
              <w:rPr>
                <w:rFonts w:hint="eastAsia" w:ascii="仿宋" w:hAnsi="仿宋" w:eastAsia="仿宋"/>
                <w:color w:val="auto"/>
                <w:sz w:val="30"/>
                <w:szCs w:val="30"/>
              </w:rPr>
              <w:t>查验有问题集装箱无免堆期。</w:t>
            </w:r>
          </w:p>
        </w:tc>
      </w:tr>
    </w:tbl>
    <w:p>
      <w:pPr>
        <w:rPr>
          <w:rFonts w:hint="eastAsia" w:ascii="仿宋" w:hAnsi="仿宋" w:eastAsia="仿宋"/>
          <w:color w:val="auto"/>
          <w:sz w:val="30"/>
          <w:szCs w:val="30"/>
        </w:rPr>
      </w:pPr>
    </w:p>
    <w:p>
      <w:pPr>
        <w:rPr>
          <w:rFonts w:hint="eastAsia" w:ascii="仿宋" w:hAnsi="仿宋" w:eastAsia="仿宋"/>
          <w:color w:val="auto"/>
          <w:sz w:val="30"/>
          <w:szCs w:val="30"/>
        </w:rPr>
      </w:pPr>
    </w:p>
    <w:p>
      <w:pPr>
        <w:rPr>
          <w:rFonts w:hint="eastAsia" w:ascii="仿宋" w:hAnsi="仿宋" w:eastAsia="仿宋"/>
          <w:color w:val="auto"/>
          <w:sz w:val="30"/>
          <w:szCs w:val="30"/>
        </w:rPr>
      </w:pPr>
    </w:p>
    <w:p>
      <w:pPr>
        <w:rPr>
          <w:rFonts w:hint="eastAsia" w:ascii="仿宋" w:hAnsi="仿宋" w:eastAsia="仿宋"/>
          <w:color w:val="auto"/>
          <w:sz w:val="30"/>
          <w:szCs w:val="30"/>
        </w:rPr>
      </w:pPr>
    </w:p>
    <w:p>
      <w:pPr>
        <w:rPr>
          <w:rFonts w:ascii="仿宋" w:hAnsi="仿宋" w:eastAsia="仿宋"/>
          <w:color w:val="auto"/>
          <w:sz w:val="30"/>
          <w:szCs w:val="30"/>
        </w:rPr>
      </w:pPr>
      <w:r>
        <w:rPr>
          <w:rFonts w:hint="eastAsia" w:ascii="仿宋" w:hAnsi="仿宋" w:eastAsia="仿宋"/>
          <w:color w:val="auto"/>
          <w:sz w:val="30"/>
          <w:szCs w:val="30"/>
        </w:rPr>
        <w:t>（三）集装箱货物固定使用仓库堆存</w:t>
      </w:r>
    </w:p>
    <w:tbl>
      <w:tblPr>
        <w:tblStyle w:val="5"/>
        <w:tblW w:w="10070" w:type="dxa"/>
        <w:jc w:val="center"/>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Layout w:type="autofit"/>
        <w:tblCellMar>
          <w:top w:w="0" w:type="dxa"/>
          <w:left w:w="108" w:type="dxa"/>
          <w:bottom w:w="0" w:type="dxa"/>
          <w:right w:w="108" w:type="dxa"/>
        </w:tblCellMar>
      </w:tblPr>
      <w:tblGrid>
        <w:gridCol w:w="2615"/>
        <w:gridCol w:w="4572"/>
        <w:gridCol w:w="2883"/>
      </w:tblGrid>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602" w:hRule="atLeast"/>
          <w:jc w:val="center"/>
        </w:trPr>
        <w:tc>
          <w:tcPr>
            <w:tcW w:w="2615" w:type="dxa"/>
            <w:shd w:val="clear" w:color="auto" w:fill="auto"/>
            <w:vAlign w:val="center"/>
          </w:tcPr>
          <w:p>
            <w:pPr>
              <w:keepNext w:val="0"/>
              <w:keepLines w:val="0"/>
              <w:widowControl/>
              <w:suppressLineNumbers w:val="0"/>
              <w:spacing w:before="0" w:beforeAutospacing="0" w:after="0" w:afterAutospacing="0"/>
              <w:ind w:left="0" w:right="0" w:firstLine="600" w:firstLineChars="200"/>
              <w:jc w:val="left"/>
              <w:rPr>
                <w:rFonts w:hint="default" w:ascii="仿宋" w:hAnsi="仿宋" w:eastAsia="仿宋"/>
                <w:color w:val="auto"/>
                <w:sz w:val="30"/>
                <w:szCs w:val="30"/>
              </w:rPr>
            </w:pPr>
            <w:r>
              <w:rPr>
                <w:rFonts w:hint="eastAsia" w:ascii="仿宋" w:hAnsi="仿宋" w:eastAsia="仿宋"/>
                <w:color w:val="auto"/>
                <w:sz w:val="30"/>
                <w:szCs w:val="30"/>
              </w:rPr>
              <w:t>收费项目</w:t>
            </w:r>
          </w:p>
        </w:tc>
        <w:tc>
          <w:tcPr>
            <w:tcW w:w="4572" w:type="dxa"/>
            <w:tcBorders>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计费单位</w:t>
            </w:r>
          </w:p>
        </w:tc>
        <w:tc>
          <w:tcPr>
            <w:tcW w:w="2883" w:type="dxa"/>
            <w:tcBorders>
              <w:lef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olor w:val="auto"/>
                <w:sz w:val="30"/>
                <w:szCs w:val="30"/>
              </w:rPr>
            </w:pPr>
            <w:r>
              <w:rPr>
                <w:rFonts w:hint="eastAsia" w:ascii="仿宋" w:hAnsi="仿宋" w:eastAsia="仿宋"/>
                <w:color w:val="auto"/>
                <w:sz w:val="30"/>
                <w:szCs w:val="30"/>
              </w:rPr>
              <w:t>收费标准</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2253" w:hRule="atLeast"/>
          <w:jc w:val="center"/>
        </w:trPr>
        <w:tc>
          <w:tcPr>
            <w:tcW w:w="2615" w:type="dxa"/>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olor w:val="auto"/>
                <w:sz w:val="30"/>
                <w:szCs w:val="30"/>
                <w:lang w:val="en-US" w:eastAsia="zh-CN"/>
              </w:rPr>
            </w:pPr>
            <w:r>
              <w:rPr>
                <w:rFonts w:hint="eastAsia" w:ascii="仿宋" w:hAnsi="仿宋" w:eastAsia="仿宋"/>
                <w:color w:val="auto"/>
                <w:sz w:val="30"/>
                <w:szCs w:val="30"/>
              </w:rPr>
              <w:t>库场使用费</w:t>
            </w:r>
            <w:r>
              <w:rPr>
                <w:rFonts w:hint="eastAsia" w:ascii="仿宋" w:hAnsi="仿宋" w:eastAsia="仿宋"/>
                <w:color w:val="auto"/>
                <w:sz w:val="30"/>
                <w:szCs w:val="30"/>
                <w:lang w:val="en-US" w:eastAsia="zh-CN"/>
              </w:rPr>
              <w:t>包干</w:t>
            </w:r>
          </w:p>
          <w:p>
            <w:pPr>
              <w:keepNext w:val="0"/>
              <w:keepLines w:val="0"/>
              <w:widowControl/>
              <w:suppressLineNumbers w:val="0"/>
              <w:spacing w:before="0" w:beforeAutospacing="0" w:after="0" w:afterAutospacing="0"/>
              <w:ind w:left="0" w:right="0" w:firstLine="600" w:firstLineChars="200"/>
              <w:jc w:val="left"/>
              <w:rPr>
                <w:rFonts w:hint="default" w:ascii="仿宋" w:hAnsi="仿宋" w:eastAsia="仿宋"/>
                <w:color w:val="auto"/>
                <w:sz w:val="30"/>
                <w:szCs w:val="30"/>
              </w:rPr>
            </w:pPr>
            <w:r>
              <w:rPr>
                <w:rFonts w:hint="eastAsia" w:ascii="仿宋" w:hAnsi="仿宋" w:eastAsia="仿宋"/>
                <w:color w:val="auto"/>
                <w:sz w:val="30"/>
                <w:szCs w:val="30"/>
              </w:rPr>
              <w:t>（仓库</w:t>
            </w:r>
            <w:r>
              <w:rPr>
                <w:rFonts w:hint="default" w:ascii="仿宋" w:hAnsi="仿宋" w:eastAsia="仿宋"/>
                <w:color w:val="auto"/>
                <w:sz w:val="30"/>
                <w:szCs w:val="30"/>
              </w:rPr>
              <w:t>）</w:t>
            </w:r>
          </w:p>
        </w:tc>
        <w:tc>
          <w:tcPr>
            <w:tcW w:w="4572" w:type="dxa"/>
            <w:tcBorders>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firstLine="300" w:firstLineChars="100"/>
              <w:jc w:val="center"/>
              <w:rPr>
                <w:rFonts w:hint="default" w:ascii="仿宋" w:hAnsi="仿宋" w:eastAsia="仿宋"/>
                <w:color w:val="auto"/>
                <w:sz w:val="30"/>
                <w:szCs w:val="30"/>
                <w:lang w:val="en-US" w:eastAsia="zh-CN"/>
              </w:rPr>
            </w:pPr>
            <w:r>
              <w:rPr>
                <w:rFonts w:hint="eastAsia" w:ascii="仿宋" w:hAnsi="仿宋" w:eastAsia="仿宋"/>
                <w:color w:val="auto"/>
                <w:sz w:val="30"/>
                <w:szCs w:val="30"/>
                <w:lang w:val="en-US" w:eastAsia="zh-CN"/>
              </w:rPr>
              <w:t>元/月</w:t>
            </w:r>
          </w:p>
        </w:tc>
        <w:tc>
          <w:tcPr>
            <w:tcW w:w="2883" w:type="dxa"/>
            <w:tcBorders>
              <w:lef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仿宋" w:hAnsi="仿宋" w:eastAsia="仿宋"/>
                <w:color w:val="auto"/>
                <w:sz w:val="30"/>
                <w:szCs w:val="30"/>
                <w:lang w:val="en-US" w:eastAsia="zh-CN"/>
              </w:rPr>
            </w:pPr>
            <w:r>
              <w:rPr>
                <w:rFonts w:hint="eastAsia" w:ascii="仿宋" w:hAnsi="仿宋" w:eastAsia="仿宋"/>
                <w:color w:val="auto"/>
                <w:sz w:val="30"/>
                <w:szCs w:val="30"/>
                <w:lang w:val="en-US" w:eastAsia="zh-CN"/>
              </w:rPr>
              <w:t>根据需求提供面积，经协商后定价。</w:t>
            </w:r>
          </w:p>
        </w:tc>
      </w:tr>
    </w:tbl>
    <w:p>
      <w:pPr>
        <w:widowControl/>
        <w:jc w:val="left"/>
        <w:rPr>
          <w:rFonts w:ascii="仿宋" w:hAnsi="仿宋" w:eastAsia="仿宋"/>
          <w:color w:val="auto"/>
          <w:sz w:val="30"/>
          <w:szCs w:val="30"/>
        </w:rPr>
      </w:pPr>
      <w:r>
        <w:rPr>
          <w:rFonts w:hint="eastAsia" w:ascii="仿宋" w:hAnsi="仿宋" w:eastAsia="仿宋"/>
          <w:color w:val="auto"/>
          <w:sz w:val="30"/>
          <w:szCs w:val="30"/>
        </w:rPr>
        <w:t>（四）集装箱转栈</w:t>
      </w:r>
    </w:p>
    <w:tbl>
      <w:tblPr>
        <w:tblStyle w:val="5"/>
        <w:tblW w:w="10099" w:type="dxa"/>
        <w:jc w:val="center"/>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Layout w:type="autofit"/>
        <w:tblCellMar>
          <w:top w:w="0" w:type="dxa"/>
          <w:left w:w="108" w:type="dxa"/>
          <w:bottom w:w="0" w:type="dxa"/>
          <w:right w:w="108" w:type="dxa"/>
        </w:tblCellMar>
      </w:tblPr>
      <w:tblGrid>
        <w:gridCol w:w="1656"/>
        <w:gridCol w:w="5655"/>
        <w:gridCol w:w="1410"/>
        <w:gridCol w:w="1378"/>
      </w:tblGrid>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285" w:hRule="atLeast"/>
          <w:jc w:val="center"/>
        </w:trPr>
        <w:tc>
          <w:tcPr>
            <w:tcW w:w="1656" w:type="dxa"/>
            <w:vMerge w:val="restart"/>
            <w:shd w:val="clear" w:color="auto" w:fill="auto"/>
            <w:vAlign w:val="center"/>
          </w:tcPr>
          <w:p>
            <w:pPr>
              <w:keepNext w:val="0"/>
              <w:keepLines w:val="0"/>
              <w:widowControl/>
              <w:suppressLineNumbers w:val="0"/>
              <w:spacing w:before="0" w:beforeAutospacing="0" w:after="0" w:afterAutospacing="0"/>
              <w:ind w:left="0" w:right="0"/>
              <w:jc w:val="left"/>
              <w:rPr>
                <w:rFonts w:hint="default" w:ascii="仿宋" w:hAnsi="仿宋" w:eastAsia="仿宋" w:cs="仿宋"/>
                <w:color w:val="auto"/>
                <w:sz w:val="30"/>
                <w:szCs w:val="30"/>
              </w:rPr>
            </w:pPr>
            <w:r>
              <w:rPr>
                <w:rFonts w:hint="eastAsia" w:ascii="仿宋" w:hAnsi="仿宋" w:eastAsia="仿宋" w:cs="仿宋"/>
                <w:color w:val="auto"/>
                <w:sz w:val="30"/>
                <w:szCs w:val="30"/>
              </w:rPr>
              <w:t>收费项目</w:t>
            </w:r>
          </w:p>
        </w:tc>
        <w:tc>
          <w:tcPr>
            <w:tcW w:w="5655" w:type="dxa"/>
            <w:vMerge w:val="restart"/>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服务内容</w:t>
            </w:r>
          </w:p>
        </w:tc>
        <w:tc>
          <w:tcPr>
            <w:tcW w:w="2788" w:type="dxa"/>
            <w:gridSpan w:val="2"/>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收费标准</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913" w:hRule="atLeast"/>
          <w:jc w:val="center"/>
        </w:trPr>
        <w:tc>
          <w:tcPr>
            <w:tcW w:w="1656" w:type="dxa"/>
            <w:vMerge w:val="continue"/>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5655" w:type="dxa"/>
            <w:vMerge w:val="continue"/>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p>
        </w:tc>
        <w:tc>
          <w:tcPr>
            <w:tcW w:w="1410" w:type="dxa"/>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20英尺普通箱</w:t>
            </w:r>
          </w:p>
        </w:tc>
        <w:tc>
          <w:tcPr>
            <w:tcW w:w="1378" w:type="dxa"/>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40英尺普通箱</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837" w:hRule="atLeast"/>
          <w:jc w:val="center"/>
        </w:trPr>
        <w:tc>
          <w:tcPr>
            <w:tcW w:w="1656" w:type="dxa"/>
            <w:vMerge w:val="restart"/>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库场使用费</w:t>
            </w:r>
          </w:p>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（转栈）</w:t>
            </w:r>
          </w:p>
        </w:tc>
        <w:tc>
          <w:tcPr>
            <w:tcW w:w="5655" w:type="dxa"/>
            <w:shd w:val="clear" w:color="auto" w:fill="auto"/>
            <w:vAlign w:val="center"/>
          </w:tcPr>
          <w:p>
            <w:pPr>
              <w:keepNext w:val="0"/>
              <w:keepLines w:val="0"/>
              <w:widowControl/>
              <w:suppressLineNumbers w:val="0"/>
              <w:spacing w:before="0" w:beforeAutospacing="0" w:after="0" w:afterAutospacing="0"/>
              <w:ind w:left="0" w:right="0"/>
              <w:jc w:val="left"/>
              <w:rPr>
                <w:rFonts w:hint="default" w:ascii="仿宋" w:hAnsi="仿宋" w:eastAsia="仿宋" w:cs="仿宋"/>
                <w:color w:val="auto"/>
                <w:sz w:val="30"/>
                <w:szCs w:val="30"/>
              </w:rPr>
            </w:pPr>
            <w:r>
              <w:rPr>
                <w:rFonts w:hint="eastAsia" w:ascii="仿宋" w:hAnsi="仿宋" w:eastAsia="仿宋" w:cs="仿宋"/>
                <w:color w:val="auto"/>
                <w:sz w:val="30"/>
                <w:szCs w:val="30"/>
              </w:rPr>
              <w:t>进口重箱堆存期超过相应天数后计收转栈产生的港口库场整理费用。</w:t>
            </w:r>
          </w:p>
        </w:tc>
        <w:tc>
          <w:tcPr>
            <w:tcW w:w="1410" w:type="dxa"/>
            <w:vMerge w:val="restart"/>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99</w:t>
            </w:r>
          </w:p>
        </w:tc>
        <w:tc>
          <w:tcPr>
            <w:tcW w:w="1378" w:type="dxa"/>
            <w:vMerge w:val="restart"/>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r>
              <w:rPr>
                <w:rFonts w:hint="eastAsia" w:ascii="仿宋" w:hAnsi="仿宋" w:eastAsia="仿宋" w:cs="仿宋"/>
                <w:color w:val="auto"/>
                <w:sz w:val="30"/>
                <w:szCs w:val="30"/>
              </w:rPr>
              <w:t>148.6</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450" w:hRule="atLeast"/>
          <w:jc w:val="center"/>
        </w:trPr>
        <w:tc>
          <w:tcPr>
            <w:tcW w:w="1656" w:type="dxa"/>
            <w:vMerge w:val="continue"/>
            <w:vAlign w:val="center"/>
          </w:tcPr>
          <w:p>
            <w:pPr>
              <w:keepNext w:val="0"/>
              <w:keepLines w:val="0"/>
              <w:widowControl/>
              <w:suppressLineNumbers w:val="0"/>
              <w:spacing w:before="0" w:beforeAutospacing="0" w:after="0" w:afterAutospacing="0"/>
              <w:ind w:left="0" w:right="0"/>
              <w:jc w:val="left"/>
              <w:rPr>
                <w:rFonts w:hint="default" w:ascii="仿宋" w:hAnsi="仿宋" w:eastAsia="仿宋" w:cs="仿宋"/>
                <w:color w:val="auto"/>
                <w:sz w:val="30"/>
                <w:szCs w:val="30"/>
              </w:rPr>
            </w:pPr>
          </w:p>
        </w:tc>
        <w:tc>
          <w:tcPr>
            <w:tcW w:w="5655" w:type="dxa"/>
            <w:shd w:val="clear" w:color="auto" w:fill="auto"/>
            <w:vAlign w:val="center"/>
          </w:tcPr>
          <w:p>
            <w:pPr>
              <w:keepNext w:val="0"/>
              <w:keepLines w:val="0"/>
              <w:widowControl/>
              <w:suppressLineNumbers w:val="0"/>
              <w:spacing w:before="0" w:beforeAutospacing="0" w:after="0" w:afterAutospacing="0"/>
              <w:ind w:left="0" w:right="0"/>
              <w:jc w:val="left"/>
              <w:rPr>
                <w:rFonts w:hint="default" w:ascii="仿宋" w:hAnsi="仿宋" w:eastAsia="仿宋" w:cs="仿宋"/>
                <w:color w:val="auto"/>
                <w:sz w:val="30"/>
                <w:szCs w:val="30"/>
              </w:rPr>
            </w:pPr>
            <w:r>
              <w:rPr>
                <w:rFonts w:hint="eastAsia" w:ascii="仿宋" w:hAnsi="仿宋" w:eastAsia="仿宋" w:cs="仿宋"/>
                <w:color w:val="auto"/>
                <w:sz w:val="30"/>
                <w:szCs w:val="30"/>
              </w:rPr>
              <w:t>出口重箱根据客户在进港时间外的进场申请，收取转栈产生的港口库场整理费用。</w:t>
            </w:r>
          </w:p>
        </w:tc>
        <w:tc>
          <w:tcPr>
            <w:tcW w:w="1410" w:type="dxa"/>
            <w:vMerge w:val="continue"/>
            <w:shd w:val="clear" w:color="auto" w:fill="auto"/>
            <w:vAlign w:val="center"/>
          </w:tcPr>
          <w:p>
            <w:pPr>
              <w:keepNext w:val="0"/>
              <w:keepLines w:val="0"/>
              <w:widowControl/>
              <w:suppressLineNumbers w:val="0"/>
              <w:spacing w:before="0" w:beforeAutospacing="0" w:after="0" w:afterAutospacing="0"/>
              <w:ind w:left="0" w:right="0"/>
              <w:jc w:val="left"/>
              <w:rPr>
                <w:rFonts w:hint="default" w:ascii="仿宋" w:hAnsi="仿宋" w:eastAsia="仿宋" w:cs="仿宋"/>
                <w:color w:val="auto"/>
                <w:sz w:val="30"/>
                <w:szCs w:val="30"/>
              </w:rPr>
            </w:pPr>
          </w:p>
        </w:tc>
        <w:tc>
          <w:tcPr>
            <w:tcW w:w="1378" w:type="dxa"/>
            <w:vMerge w:val="continue"/>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30"/>
                <w:szCs w:val="30"/>
              </w:rPr>
            </w:pP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3069" w:hRule="atLeast"/>
          <w:jc w:val="center"/>
        </w:trPr>
        <w:tc>
          <w:tcPr>
            <w:tcW w:w="10099" w:type="dxa"/>
            <w:gridSpan w:val="4"/>
            <w:vAlign w:val="center"/>
          </w:tcPr>
          <w:p>
            <w:pPr>
              <w:keepNext w:val="0"/>
              <w:keepLines w:val="0"/>
              <w:widowControl/>
              <w:numPr>
                <w:ilvl w:val="0"/>
                <w:numId w:val="0"/>
              </w:numPr>
              <w:suppressLineNumbers w:val="0"/>
              <w:spacing w:before="0" w:beforeAutospacing="0" w:after="0" w:afterAutospacing="0"/>
              <w:ind w:left="0" w:right="0"/>
              <w:jc w:val="lef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说明：1.</w:t>
            </w:r>
            <w:r>
              <w:rPr>
                <w:rFonts w:hint="eastAsia" w:ascii="仿宋" w:hAnsi="仿宋" w:eastAsia="仿宋" w:cs="仿宋"/>
                <w:color w:val="auto"/>
                <w:sz w:val="30"/>
                <w:szCs w:val="30"/>
              </w:rPr>
              <w:t>其他箱型加收标准如下：45英尺及以上集装箱按40英尺集装箱费率加收50%；冷藏重箱按相应箱型加收10%；普通危险品、冷藏危险品集装箱按相应箱型加收100%。</w:t>
            </w:r>
          </w:p>
          <w:p>
            <w:pPr>
              <w:keepNext w:val="0"/>
              <w:keepLines w:val="0"/>
              <w:widowControl/>
              <w:numPr>
                <w:ilvl w:val="0"/>
                <w:numId w:val="0"/>
              </w:numPr>
              <w:suppressLineNumbers w:val="0"/>
              <w:spacing w:before="0" w:beforeAutospacing="0" w:after="0" w:afterAutospacing="0"/>
              <w:ind w:left="0" w:right="0"/>
              <w:jc w:val="lef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2.</w:t>
            </w:r>
            <w:r>
              <w:rPr>
                <w:rFonts w:hint="eastAsia" w:ascii="仿宋" w:hAnsi="仿宋" w:eastAsia="仿宋" w:cs="仿宋"/>
                <w:color w:val="auto"/>
                <w:sz w:val="30"/>
                <w:szCs w:val="30"/>
              </w:rPr>
              <w:t>总重超32.5吨但未超箱体最高限重的集装箱按相应箱型加收100%；超限箱、非标准箱超限部分宽度左右各不超过（含）50厘米，或长度前后各不超过（含）50厘米，或高度不超过（含）120厘米的按相应箱型加收100%，超过范围之一的按相应箱型加收200%。</w:t>
            </w:r>
          </w:p>
        </w:tc>
      </w:tr>
    </w:tbl>
    <w:p>
      <w:pPr>
        <w:rPr>
          <w:color w:val="auto"/>
        </w:rPr>
      </w:pPr>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heme="minorHAnsi" w:hAnsiTheme="minorHAnsi" w:eastAsiaTheme="minorEastAsia" w:cstheme="minorBidi"/>
        <w:kern w:val="2"/>
        <w:sz w:val="21"/>
        <w:szCs w:val="22"/>
        <w:lang w:val="en-US" w:eastAsia="zh-CN" w:bidi="ar-SA"/>
      </w:rPr>
      <w:id w:val="32090878"/>
      <w:docPartObj>
        <w:docPartGallery w:val="autotext"/>
      </w:docPartObj>
    </w:sdtPr>
    <w:sdtEndPr>
      <w:rPr>
        <w:rFonts w:asciiTheme="minorHAnsi" w:hAnsiTheme="minorHAnsi" w:eastAsiaTheme="minorEastAsia" w:cstheme="minorBidi"/>
        <w:kern w:val="2"/>
        <w:sz w:val="21"/>
        <w:szCs w:val="22"/>
        <w:lang w:val="en-US" w:eastAsia="zh-CN" w:bidi="ar-SA"/>
      </w:rPr>
    </w:sdtEndPr>
    <w:sdtContent>
      <w:sdt>
        <w:sdtPr>
          <w:rPr>
            <w:rFonts w:asciiTheme="minorHAnsi" w:hAnsiTheme="minorHAnsi" w:eastAsiaTheme="minorEastAsia" w:cstheme="minorBidi"/>
            <w:kern w:val="2"/>
            <w:sz w:val="21"/>
            <w:szCs w:val="22"/>
            <w:lang w:val="en-US" w:eastAsia="zh-CN" w:bidi="ar-SA"/>
          </w:rPr>
          <w:id w:val="32090879"/>
          <w:docPartObj>
            <w:docPartGallery w:val="autotext"/>
          </w:docPartObj>
        </w:sdtPr>
        <w:sdtEndPr>
          <w:rPr>
            <w:rFonts w:asciiTheme="minorHAnsi" w:hAnsiTheme="minorHAnsi" w:eastAsiaTheme="minorEastAsia" w:cstheme="minorBidi"/>
            <w:kern w:val="2"/>
            <w:sz w:val="21"/>
            <w:szCs w:val="22"/>
            <w:lang w:val="en-US" w:eastAsia="zh-CN" w:bidi="ar-SA"/>
          </w:rPr>
        </w:sdtEndPr>
        <w:sdtContent>
          <w:p>
            <w:pPr>
              <w:pStyle w:val="3"/>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26</w:t>
            </w:r>
            <w:r>
              <w:rPr>
                <w:b/>
                <w:sz w:val="24"/>
                <w:szCs w:val="24"/>
              </w:rPr>
              <w:fldChar w:fldCharType="end"/>
            </w:r>
          </w:p>
        </w:sdtContent>
      </w:sdt>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rPr>
                              <w:rFonts w:hint="eastAsia"/>
                            </w:rPr>
                            <w:t xml:space="preserve">第 </w:t>
                          </w:r>
                          <w:r>
                            <w:fldChar w:fldCharType="begin"/>
                          </w:r>
                          <w:r>
                            <w:instrText xml:space="preserve"> PAGE  \* MERGEFORMAT </w:instrText>
                          </w:r>
                          <w:r>
                            <w:fldChar w:fldCharType="separate"/>
                          </w:r>
                          <w:r>
                            <w:t>25</w:t>
                          </w:r>
                          <w:r>
                            <w:fldChar w:fldCharType="end"/>
                          </w:r>
                          <w:r>
                            <w:rPr>
                              <w:rFonts w:hint="eastAsia"/>
                            </w:rPr>
                            <w:t xml:space="preserve"> 页 共 </w:t>
                          </w:r>
                          <w:r>
                            <w:fldChar w:fldCharType="begin"/>
                          </w:r>
                          <w:r>
                            <w:instrText xml:space="preserve"> NUMPAGES  \* MERGEFORMAT </w:instrText>
                          </w:r>
                          <w:r>
                            <w:fldChar w:fldCharType="separate"/>
                          </w:r>
                          <w:r>
                            <w:t>26</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eMqNjLAQAAnAMAAA4AAAAAAAAAAQAgAAAAHgEAAGRycy9lMm9E&#10;b2MueG1sUEsFBgAAAAAGAAYAWQEAAFsFAAAAAA==&#10;">
              <v:fill on="f" focussize="0,0"/>
              <v:stroke on="f"/>
              <v:imagedata o:title=""/>
              <o:lock v:ext="edit" aspectratio="f"/>
              <v:textbox inset="0mm,0mm,0mm,0mm" style="mso-fit-shape-to-text:t;">
                <w:txbxContent>
                  <w:p>
                    <w:pPr>
                      <w:pStyle w:val="3"/>
                    </w:pPr>
                    <w:r>
                      <w:rPr>
                        <w:rFonts w:hint="eastAsia"/>
                      </w:rPr>
                      <w:t xml:space="preserve">第 </w:t>
                    </w:r>
                    <w:r>
                      <w:fldChar w:fldCharType="begin"/>
                    </w:r>
                    <w:r>
                      <w:instrText xml:space="preserve"> PAGE  \* MERGEFORMAT </w:instrText>
                    </w:r>
                    <w:r>
                      <w:fldChar w:fldCharType="separate"/>
                    </w:r>
                    <w:r>
                      <w:t>25</w:t>
                    </w:r>
                    <w:r>
                      <w:fldChar w:fldCharType="end"/>
                    </w:r>
                    <w:r>
                      <w:rPr>
                        <w:rFonts w:hint="eastAsia"/>
                      </w:rPr>
                      <w:t xml:space="preserve"> 页 共 </w:t>
                    </w:r>
                    <w:r>
                      <w:fldChar w:fldCharType="begin"/>
                    </w:r>
                    <w:r>
                      <w:instrText xml:space="preserve"> NUMPAGES  \* MERGEFORMAT </w:instrText>
                    </w:r>
                    <w:r>
                      <w:fldChar w:fldCharType="separate"/>
                    </w:r>
                    <w:r>
                      <w:t>26</w:t>
                    </w:r>
                    <w:r>
                      <w:fldChar w:fldCharType="end"/>
                    </w:r>
                    <w:r>
                      <w:rPr>
                        <w:rFonts w:hint="eastAsia"/>
                      </w:rPr>
                      <w:t xml:space="preserve"> 页</w:t>
                    </w:r>
                  </w:p>
                </w:txbxContent>
              </v:textbox>
            </v:shape>
          </w:pict>
        </mc:Fallback>
      </mc:AlternateContent>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1F1AC7"/>
    <w:multiLevelType w:val="multilevel"/>
    <w:tmpl w:val="351F1AC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4OGFkNDAyMzc4YWY5MjYyMDQ5MjU4NGU1MDg1NzgifQ=="/>
  </w:docVars>
  <w:rsids>
    <w:rsidRoot w:val="00172A27"/>
    <w:rsid w:val="00015D3B"/>
    <w:rsid w:val="00016A95"/>
    <w:rsid w:val="000224AB"/>
    <w:rsid w:val="00032AA1"/>
    <w:rsid w:val="00032FA9"/>
    <w:rsid w:val="00057023"/>
    <w:rsid w:val="00071AB1"/>
    <w:rsid w:val="00090A72"/>
    <w:rsid w:val="00092169"/>
    <w:rsid w:val="000C1160"/>
    <w:rsid w:val="000D1DAB"/>
    <w:rsid w:val="000D4381"/>
    <w:rsid w:val="000E7867"/>
    <w:rsid w:val="000F41A2"/>
    <w:rsid w:val="000F4C33"/>
    <w:rsid w:val="001043C8"/>
    <w:rsid w:val="00141559"/>
    <w:rsid w:val="001557B9"/>
    <w:rsid w:val="0015631E"/>
    <w:rsid w:val="00156C3B"/>
    <w:rsid w:val="00172A27"/>
    <w:rsid w:val="00192928"/>
    <w:rsid w:val="001971D6"/>
    <w:rsid w:val="001B09D5"/>
    <w:rsid w:val="001C120B"/>
    <w:rsid w:val="001C7090"/>
    <w:rsid w:val="001D40BF"/>
    <w:rsid w:val="001E7A3A"/>
    <w:rsid w:val="00205DB6"/>
    <w:rsid w:val="00223933"/>
    <w:rsid w:val="002249AE"/>
    <w:rsid w:val="00232A93"/>
    <w:rsid w:val="00266C85"/>
    <w:rsid w:val="00273E92"/>
    <w:rsid w:val="002B4BCD"/>
    <w:rsid w:val="003169FA"/>
    <w:rsid w:val="00337ED8"/>
    <w:rsid w:val="00364984"/>
    <w:rsid w:val="00375FF8"/>
    <w:rsid w:val="00395B41"/>
    <w:rsid w:val="00396C44"/>
    <w:rsid w:val="003F3ADD"/>
    <w:rsid w:val="00400A2D"/>
    <w:rsid w:val="00412BA7"/>
    <w:rsid w:val="00462B53"/>
    <w:rsid w:val="004F1E5C"/>
    <w:rsid w:val="00504B28"/>
    <w:rsid w:val="00533240"/>
    <w:rsid w:val="005430A7"/>
    <w:rsid w:val="00560919"/>
    <w:rsid w:val="00564E02"/>
    <w:rsid w:val="00574220"/>
    <w:rsid w:val="005B3641"/>
    <w:rsid w:val="005B69DC"/>
    <w:rsid w:val="00601284"/>
    <w:rsid w:val="00620D7B"/>
    <w:rsid w:val="006628F8"/>
    <w:rsid w:val="00662D55"/>
    <w:rsid w:val="00667BE3"/>
    <w:rsid w:val="00670FB8"/>
    <w:rsid w:val="00695387"/>
    <w:rsid w:val="006A14B7"/>
    <w:rsid w:val="006F49D2"/>
    <w:rsid w:val="00757755"/>
    <w:rsid w:val="00772253"/>
    <w:rsid w:val="00783B29"/>
    <w:rsid w:val="007863D1"/>
    <w:rsid w:val="00787620"/>
    <w:rsid w:val="007A1397"/>
    <w:rsid w:val="007A5594"/>
    <w:rsid w:val="007C2638"/>
    <w:rsid w:val="008103CB"/>
    <w:rsid w:val="008322CF"/>
    <w:rsid w:val="00840918"/>
    <w:rsid w:val="00843BB4"/>
    <w:rsid w:val="0084634D"/>
    <w:rsid w:val="00856201"/>
    <w:rsid w:val="00876F76"/>
    <w:rsid w:val="008B0FCF"/>
    <w:rsid w:val="008B4C68"/>
    <w:rsid w:val="008B6C0C"/>
    <w:rsid w:val="008C0CCE"/>
    <w:rsid w:val="008D65B6"/>
    <w:rsid w:val="008E7111"/>
    <w:rsid w:val="00900D52"/>
    <w:rsid w:val="00905666"/>
    <w:rsid w:val="009143B3"/>
    <w:rsid w:val="00930A73"/>
    <w:rsid w:val="00966E8A"/>
    <w:rsid w:val="00984AA7"/>
    <w:rsid w:val="0099773F"/>
    <w:rsid w:val="009A1A24"/>
    <w:rsid w:val="009A4CD4"/>
    <w:rsid w:val="009B6813"/>
    <w:rsid w:val="009B753B"/>
    <w:rsid w:val="009C3CD9"/>
    <w:rsid w:val="009D2154"/>
    <w:rsid w:val="009D5177"/>
    <w:rsid w:val="009D6346"/>
    <w:rsid w:val="009E3A9A"/>
    <w:rsid w:val="009F51FE"/>
    <w:rsid w:val="00A16B36"/>
    <w:rsid w:val="00A3505B"/>
    <w:rsid w:val="00A43193"/>
    <w:rsid w:val="00A52471"/>
    <w:rsid w:val="00AB34BC"/>
    <w:rsid w:val="00AD2265"/>
    <w:rsid w:val="00B04EE5"/>
    <w:rsid w:val="00B21D53"/>
    <w:rsid w:val="00B22E05"/>
    <w:rsid w:val="00B24153"/>
    <w:rsid w:val="00B31495"/>
    <w:rsid w:val="00B3151B"/>
    <w:rsid w:val="00B6348C"/>
    <w:rsid w:val="00B722A1"/>
    <w:rsid w:val="00B74A2F"/>
    <w:rsid w:val="00BB787A"/>
    <w:rsid w:val="00BC5317"/>
    <w:rsid w:val="00C06552"/>
    <w:rsid w:val="00C305AA"/>
    <w:rsid w:val="00C31D6D"/>
    <w:rsid w:val="00C4140C"/>
    <w:rsid w:val="00C41836"/>
    <w:rsid w:val="00C51942"/>
    <w:rsid w:val="00C60822"/>
    <w:rsid w:val="00C63587"/>
    <w:rsid w:val="00C72743"/>
    <w:rsid w:val="00C741E5"/>
    <w:rsid w:val="00CA5388"/>
    <w:rsid w:val="00CF3DF3"/>
    <w:rsid w:val="00CF6D08"/>
    <w:rsid w:val="00CF7FB0"/>
    <w:rsid w:val="00D06DB9"/>
    <w:rsid w:val="00D17883"/>
    <w:rsid w:val="00D651F5"/>
    <w:rsid w:val="00D82D78"/>
    <w:rsid w:val="00D8713B"/>
    <w:rsid w:val="00D92816"/>
    <w:rsid w:val="00D95A5F"/>
    <w:rsid w:val="00DA698D"/>
    <w:rsid w:val="00DA7370"/>
    <w:rsid w:val="00DB56CA"/>
    <w:rsid w:val="00DE0B84"/>
    <w:rsid w:val="00DE2A60"/>
    <w:rsid w:val="00DE7932"/>
    <w:rsid w:val="00DF3FFA"/>
    <w:rsid w:val="00E002D5"/>
    <w:rsid w:val="00E1034C"/>
    <w:rsid w:val="00E4209F"/>
    <w:rsid w:val="00E61FED"/>
    <w:rsid w:val="00E62540"/>
    <w:rsid w:val="00E85B60"/>
    <w:rsid w:val="00EF3A04"/>
    <w:rsid w:val="00EF56E9"/>
    <w:rsid w:val="00F061D5"/>
    <w:rsid w:val="00F12D1D"/>
    <w:rsid w:val="00F25EF6"/>
    <w:rsid w:val="00F369D7"/>
    <w:rsid w:val="00F46314"/>
    <w:rsid w:val="00F50A37"/>
    <w:rsid w:val="00F612DB"/>
    <w:rsid w:val="00F66A6F"/>
    <w:rsid w:val="00F75D53"/>
    <w:rsid w:val="00F859D5"/>
    <w:rsid w:val="00FA4564"/>
    <w:rsid w:val="00FD381C"/>
    <w:rsid w:val="0114160C"/>
    <w:rsid w:val="01993231"/>
    <w:rsid w:val="01B812AE"/>
    <w:rsid w:val="01C4447F"/>
    <w:rsid w:val="01CC2561"/>
    <w:rsid w:val="01D61028"/>
    <w:rsid w:val="01F65938"/>
    <w:rsid w:val="02014447"/>
    <w:rsid w:val="02B95BCF"/>
    <w:rsid w:val="02FD4CF2"/>
    <w:rsid w:val="036E0935"/>
    <w:rsid w:val="038D4DF0"/>
    <w:rsid w:val="03C138DA"/>
    <w:rsid w:val="03C54FB4"/>
    <w:rsid w:val="03DC223D"/>
    <w:rsid w:val="041C6058"/>
    <w:rsid w:val="042F7C79"/>
    <w:rsid w:val="045E1949"/>
    <w:rsid w:val="04C66331"/>
    <w:rsid w:val="04CC73C0"/>
    <w:rsid w:val="04F12B5C"/>
    <w:rsid w:val="05911968"/>
    <w:rsid w:val="06305873"/>
    <w:rsid w:val="06480747"/>
    <w:rsid w:val="068540D7"/>
    <w:rsid w:val="078A2036"/>
    <w:rsid w:val="07A40389"/>
    <w:rsid w:val="07C01C50"/>
    <w:rsid w:val="089B0885"/>
    <w:rsid w:val="08A05550"/>
    <w:rsid w:val="08C61BCD"/>
    <w:rsid w:val="08FB0ED5"/>
    <w:rsid w:val="090274C0"/>
    <w:rsid w:val="090A6EF5"/>
    <w:rsid w:val="096C756E"/>
    <w:rsid w:val="09A62F18"/>
    <w:rsid w:val="09B10529"/>
    <w:rsid w:val="09BC5909"/>
    <w:rsid w:val="09C47012"/>
    <w:rsid w:val="0A1C5B2D"/>
    <w:rsid w:val="0A587FEF"/>
    <w:rsid w:val="0A620AA3"/>
    <w:rsid w:val="0AB0372E"/>
    <w:rsid w:val="0AC34056"/>
    <w:rsid w:val="0B1C5916"/>
    <w:rsid w:val="0BB66DFE"/>
    <w:rsid w:val="0BD55A88"/>
    <w:rsid w:val="0BEB4696"/>
    <w:rsid w:val="0C05435D"/>
    <w:rsid w:val="0C1C75EA"/>
    <w:rsid w:val="0C5A141C"/>
    <w:rsid w:val="0CC8110F"/>
    <w:rsid w:val="0CE71C9F"/>
    <w:rsid w:val="0D272547"/>
    <w:rsid w:val="0D66180B"/>
    <w:rsid w:val="0D6A6CAB"/>
    <w:rsid w:val="0DC57EA2"/>
    <w:rsid w:val="0DF37DF7"/>
    <w:rsid w:val="0E9D659E"/>
    <w:rsid w:val="0EB231B5"/>
    <w:rsid w:val="0ECE48BB"/>
    <w:rsid w:val="0EDF7255"/>
    <w:rsid w:val="0F400FAB"/>
    <w:rsid w:val="0F4502B3"/>
    <w:rsid w:val="0F5051CC"/>
    <w:rsid w:val="10626E10"/>
    <w:rsid w:val="10B22284"/>
    <w:rsid w:val="10B37E4A"/>
    <w:rsid w:val="11457E43"/>
    <w:rsid w:val="115D218E"/>
    <w:rsid w:val="117E090A"/>
    <w:rsid w:val="11830168"/>
    <w:rsid w:val="11863318"/>
    <w:rsid w:val="11F252E4"/>
    <w:rsid w:val="127E4DE1"/>
    <w:rsid w:val="12D63D07"/>
    <w:rsid w:val="12E25A13"/>
    <w:rsid w:val="131E31C9"/>
    <w:rsid w:val="13685A50"/>
    <w:rsid w:val="138377A7"/>
    <w:rsid w:val="13C5654F"/>
    <w:rsid w:val="13F70906"/>
    <w:rsid w:val="142B0570"/>
    <w:rsid w:val="1452457F"/>
    <w:rsid w:val="149D2D9C"/>
    <w:rsid w:val="14A33BB9"/>
    <w:rsid w:val="14BC7AAD"/>
    <w:rsid w:val="153C2465"/>
    <w:rsid w:val="16A1594C"/>
    <w:rsid w:val="16BD43ED"/>
    <w:rsid w:val="170D0753"/>
    <w:rsid w:val="171B54D5"/>
    <w:rsid w:val="17A923EF"/>
    <w:rsid w:val="17CC747E"/>
    <w:rsid w:val="17FB1BEC"/>
    <w:rsid w:val="181950E8"/>
    <w:rsid w:val="18710708"/>
    <w:rsid w:val="188A41C8"/>
    <w:rsid w:val="19050299"/>
    <w:rsid w:val="19CA7E6A"/>
    <w:rsid w:val="19CC7DED"/>
    <w:rsid w:val="1A4665AB"/>
    <w:rsid w:val="1B1068DE"/>
    <w:rsid w:val="1B140399"/>
    <w:rsid w:val="1B5B1882"/>
    <w:rsid w:val="1B66681A"/>
    <w:rsid w:val="1BDC12CE"/>
    <w:rsid w:val="1BEE0D3D"/>
    <w:rsid w:val="1C0732CA"/>
    <w:rsid w:val="1C126B50"/>
    <w:rsid w:val="1C524258"/>
    <w:rsid w:val="1C58544C"/>
    <w:rsid w:val="1CCC2F2A"/>
    <w:rsid w:val="1D5C2005"/>
    <w:rsid w:val="1D636566"/>
    <w:rsid w:val="1D7E6EE9"/>
    <w:rsid w:val="1D82341A"/>
    <w:rsid w:val="1D9246AF"/>
    <w:rsid w:val="1DA26B7B"/>
    <w:rsid w:val="1DC53F64"/>
    <w:rsid w:val="1E81221C"/>
    <w:rsid w:val="1E92056F"/>
    <w:rsid w:val="1EF05C3E"/>
    <w:rsid w:val="1F214FAE"/>
    <w:rsid w:val="1F59797F"/>
    <w:rsid w:val="1F710E53"/>
    <w:rsid w:val="1F766F7C"/>
    <w:rsid w:val="1F867ABD"/>
    <w:rsid w:val="1F8E1B7C"/>
    <w:rsid w:val="1FB54E83"/>
    <w:rsid w:val="1FC6681F"/>
    <w:rsid w:val="204971F2"/>
    <w:rsid w:val="20631526"/>
    <w:rsid w:val="215759B9"/>
    <w:rsid w:val="219B6C92"/>
    <w:rsid w:val="223B628A"/>
    <w:rsid w:val="226B501E"/>
    <w:rsid w:val="231773E9"/>
    <w:rsid w:val="23315433"/>
    <w:rsid w:val="235969A3"/>
    <w:rsid w:val="244B4F33"/>
    <w:rsid w:val="245E71DA"/>
    <w:rsid w:val="24775DD3"/>
    <w:rsid w:val="24B26FB4"/>
    <w:rsid w:val="24B86A59"/>
    <w:rsid w:val="24CA1C4D"/>
    <w:rsid w:val="252217D9"/>
    <w:rsid w:val="252E4714"/>
    <w:rsid w:val="253F7A8A"/>
    <w:rsid w:val="25B25A29"/>
    <w:rsid w:val="26847786"/>
    <w:rsid w:val="26B54196"/>
    <w:rsid w:val="26C27E07"/>
    <w:rsid w:val="26CE0A6C"/>
    <w:rsid w:val="26F473EE"/>
    <w:rsid w:val="26FA064A"/>
    <w:rsid w:val="26FB45C8"/>
    <w:rsid w:val="275F6C01"/>
    <w:rsid w:val="27CD476E"/>
    <w:rsid w:val="281C3D5A"/>
    <w:rsid w:val="28E36ED2"/>
    <w:rsid w:val="29FD5029"/>
    <w:rsid w:val="2A1A1C8D"/>
    <w:rsid w:val="2A1F2369"/>
    <w:rsid w:val="2AA14FD9"/>
    <w:rsid w:val="2AB6289B"/>
    <w:rsid w:val="2ACC455D"/>
    <w:rsid w:val="2B32422E"/>
    <w:rsid w:val="2B4213F5"/>
    <w:rsid w:val="2B54647E"/>
    <w:rsid w:val="2B653A8D"/>
    <w:rsid w:val="2B6E78C8"/>
    <w:rsid w:val="2BE14F6B"/>
    <w:rsid w:val="2C4102C2"/>
    <w:rsid w:val="2C8A3F5C"/>
    <w:rsid w:val="2D2715CE"/>
    <w:rsid w:val="2D286286"/>
    <w:rsid w:val="2D4C5EFB"/>
    <w:rsid w:val="2D5B48AD"/>
    <w:rsid w:val="2D771CA5"/>
    <w:rsid w:val="2DA858E7"/>
    <w:rsid w:val="2DFD0396"/>
    <w:rsid w:val="2E202CBF"/>
    <w:rsid w:val="2E520E69"/>
    <w:rsid w:val="2F467AD2"/>
    <w:rsid w:val="2F4A0578"/>
    <w:rsid w:val="2F563800"/>
    <w:rsid w:val="2FF46AD4"/>
    <w:rsid w:val="30082726"/>
    <w:rsid w:val="30524756"/>
    <w:rsid w:val="306975CC"/>
    <w:rsid w:val="30782AC2"/>
    <w:rsid w:val="307F2E18"/>
    <w:rsid w:val="30866285"/>
    <w:rsid w:val="30B634FA"/>
    <w:rsid w:val="30DA3A87"/>
    <w:rsid w:val="313129B0"/>
    <w:rsid w:val="317810DA"/>
    <w:rsid w:val="31AA1468"/>
    <w:rsid w:val="321C2B2E"/>
    <w:rsid w:val="3292564A"/>
    <w:rsid w:val="32FD24AE"/>
    <w:rsid w:val="33076FBB"/>
    <w:rsid w:val="339A158B"/>
    <w:rsid w:val="33D37628"/>
    <w:rsid w:val="33F46ADD"/>
    <w:rsid w:val="344752BE"/>
    <w:rsid w:val="345D11F0"/>
    <w:rsid w:val="34883F09"/>
    <w:rsid w:val="34A96E7B"/>
    <w:rsid w:val="357839B8"/>
    <w:rsid w:val="359155EB"/>
    <w:rsid w:val="359C7E86"/>
    <w:rsid w:val="35CD38DB"/>
    <w:rsid w:val="372A3A80"/>
    <w:rsid w:val="373D59CA"/>
    <w:rsid w:val="382F5F22"/>
    <w:rsid w:val="38424BEB"/>
    <w:rsid w:val="38D25CD0"/>
    <w:rsid w:val="390878A8"/>
    <w:rsid w:val="39393472"/>
    <w:rsid w:val="396B4D7C"/>
    <w:rsid w:val="39B53685"/>
    <w:rsid w:val="39BC5EB6"/>
    <w:rsid w:val="3A832169"/>
    <w:rsid w:val="3B226D84"/>
    <w:rsid w:val="3BDE5FBF"/>
    <w:rsid w:val="3C112135"/>
    <w:rsid w:val="3C6038EE"/>
    <w:rsid w:val="3C8C2B27"/>
    <w:rsid w:val="3CEA369D"/>
    <w:rsid w:val="3D49549B"/>
    <w:rsid w:val="3D5212ED"/>
    <w:rsid w:val="3DAF4A2F"/>
    <w:rsid w:val="3E3F36E6"/>
    <w:rsid w:val="3E6156D5"/>
    <w:rsid w:val="3E9D2B6B"/>
    <w:rsid w:val="3F2E3238"/>
    <w:rsid w:val="3F6038B3"/>
    <w:rsid w:val="3FFA456C"/>
    <w:rsid w:val="40776136"/>
    <w:rsid w:val="409177F9"/>
    <w:rsid w:val="40946A8F"/>
    <w:rsid w:val="40FF59FA"/>
    <w:rsid w:val="4115315D"/>
    <w:rsid w:val="413B5958"/>
    <w:rsid w:val="41525289"/>
    <w:rsid w:val="416E6551"/>
    <w:rsid w:val="41720837"/>
    <w:rsid w:val="41AB7639"/>
    <w:rsid w:val="422B1D11"/>
    <w:rsid w:val="42A724E7"/>
    <w:rsid w:val="42B67351"/>
    <w:rsid w:val="430950EF"/>
    <w:rsid w:val="437E2D2A"/>
    <w:rsid w:val="437E63A8"/>
    <w:rsid w:val="43F259DC"/>
    <w:rsid w:val="43F94EFD"/>
    <w:rsid w:val="43FA6854"/>
    <w:rsid w:val="442E5AFB"/>
    <w:rsid w:val="44397B5B"/>
    <w:rsid w:val="444C10B8"/>
    <w:rsid w:val="447F1B96"/>
    <w:rsid w:val="44AA0A3A"/>
    <w:rsid w:val="44F213A5"/>
    <w:rsid w:val="4507281A"/>
    <w:rsid w:val="45243BD9"/>
    <w:rsid w:val="45295EA1"/>
    <w:rsid w:val="455C5091"/>
    <w:rsid w:val="459C3836"/>
    <w:rsid w:val="45BE45EF"/>
    <w:rsid w:val="45EB6069"/>
    <w:rsid w:val="460C0CF6"/>
    <w:rsid w:val="467862BC"/>
    <w:rsid w:val="471064DA"/>
    <w:rsid w:val="47233F6D"/>
    <w:rsid w:val="475F02EA"/>
    <w:rsid w:val="477C327F"/>
    <w:rsid w:val="478832BB"/>
    <w:rsid w:val="47A16494"/>
    <w:rsid w:val="47D24F8A"/>
    <w:rsid w:val="481E2F17"/>
    <w:rsid w:val="48502D3A"/>
    <w:rsid w:val="48AE5128"/>
    <w:rsid w:val="48E3120E"/>
    <w:rsid w:val="48E76DF6"/>
    <w:rsid w:val="48FC0865"/>
    <w:rsid w:val="497D6E13"/>
    <w:rsid w:val="49887CB2"/>
    <w:rsid w:val="49EE6CD6"/>
    <w:rsid w:val="49FA3C27"/>
    <w:rsid w:val="4A6219BF"/>
    <w:rsid w:val="4A7B4B8C"/>
    <w:rsid w:val="4A90362D"/>
    <w:rsid w:val="4ACD7C4E"/>
    <w:rsid w:val="4B1856A2"/>
    <w:rsid w:val="4BE9579A"/>
    <w:rsid w:val="4C036435"/>
    <w:rsid w:val="4C2B7961"/>
    <w:rsid w:val="4C67485A"/>
    <w:rsid w:val="4C7F47D5"/>
    <w:rsid w:val="4C8B69E6"/>
    <w:rsid w:val="4CCE11F3"/>
    <w:rsid w:val="4CD61C4F"/>
    <w:rsid w:val="4D7F2DDB"/>
    <w:rsid w:val="4D9D11D7"/>
    <w:rsid w:val="4DA13DB6"/>
    <w:rsid w:val="4DCD4E70"/>
    <w:rsid w:val="4DD9174F"/>
    <w:rsid w:val="4E0204DD"/>
    <w:rsid w:val="4E224808"/>
    <w:rsid w:val="4E2E1237"/>
    <w:rsid w:val="4E8F28B0"/>
    <w:rsid w:val="4E9550DD"/>
    <w:rsid w:val="4F3D1538"/>
    <w:rsid w:val="4F407598"/>
    <w:rsid w:val="4F691D58"/>
    <w:rsid w:val="50197064"/>
    <w:rsid w:val="50436ADF"/>
    <w:rsid w:val="504B0C5C"/>
    <w:rsid w:val="505D44A6"/>
    <w:rsid w:val="50EB6C4E"/>
    <w:rsid w:val="514167C7"/>
    <w:rsid w:val="51BF4C51"/>
    <w:rsid w:val="51ED01F4"/>
    <w:rsid w:val="51ED0F3E"/>
    <w:rsid w:val="5297758D"/>
    <w:rsid w:val="52AC1367"/>
    <w:rsid w:val="52B3329F"/>
    <w:rsid w:val="530F1B6C"/>
    <w:rsid w:val="53415CE4"/>
    <w:rsid w:val="540837C1"/>
    <w:rsid w:val="541E4A88"/>
    <w:rsid w:val="5461291F"/>
    <w:rsid w:val="546272F6"/>
    <w:rsid w:val="553E57C3"/>
    <w:rsid w:val="553F74B3"/>
    <w:rsid w:val="55513419"/>
    <w:rsid w:val="55577A05"/>
    <w:rsid w:val="55620712"/>
    <w:rsid w:val="55D139DD"/>
    <w:rsid w:val="55D409CA"/>
    <w:rsid w:val="560F06DE"/>
    <w:rsid w:val="56151886"/>
    <w:rsid w:val="56286F90"/>
    <w:rsid w:val="56396369"/>
    <w:rsid w:val="573E4BB5"/>
    <w:rsid w:val="57480157"/>
    <w:rsid w:val="575F1A52"/>
    <w:rsid w:val="576979ED"/>
    <w:rsid w:val="5771455C"/>
    <w:rsid w:val="577E43C2"/>
    <w:rsid w:val="57E42743"/>
    <w:rsid w:val="58691DF7"/>
    <w:rsid w:val="587A4D4E"/>
    <w:rsid w:val="589B35BF"/>
    <w:rsid w:val="58B91CFC"/>
    <w:rsid w:val="58C77417"/>
    <w:rsid w:val="58F72271"/>
    <w:rsid w:val="59117E1B"/>
    <w:rsid w:val="59A84342"/>
    <w:rsid w:val="59E10E74"/>
    <w:rsid w:val="59E612E5"/>
    <w:rsid w:val="5A714601"/>
    <w:rsid w:val="5A933A6B"/>
    <w:rsid w:val="5C1704FD"/>
    <w:rsid w:val="5C8B74F1"/>
    <w:rsid w:val="5C99369D"/>
    <w:rsid w:val="5C9D4D6A"/>
    <w:rsid w:val="5CC44DA7"/>
    <w:rsid w:val="5D4865CE"/>
    <w:rsid w:val="5D6600A8"/>
    <w:rsid w:val="5D6E0AE1"/>
    <w:rsid w:val="5D760B18"/>
    <w:rsid w:val="5D854CE8"/>
    <w:rsid w:val="5DED3472"/>
    <w:rsid w:val="5E5210AD"/>
    <w:rsid w:val="5E5F0EDF"/>
    <w:rsid w:val="5E83648F"/>
    <w:rsid w:val="5F1776F6"/>
    <w:rsid w:val="5FBA6212"/>
    <w:rsid w:val="5FBD02F3"/>
    <w:rsid w:val="5FDB098F"/>
    <w:rsid w:val="600F69D5"/>
    <w:rsid w:val="60394866"/>
    <w:rsid w:val="606D6AC6"/>
    <w:rsid w:val="608B758C"/>
    <w:rsid w:val="60CA0A87"/>
    <w:rsid w:val="61390C7E"/>
    <w:rsid w:val="613E074C"/>
    <w:rsid w:val="61417072"/>
    <w:rsid w:val="61504AA0"/>
    <w:rsid w:val="620777D8"/>
    <w:rsid w:val="624A5103"/>
    <w:rsid w:val="62636E76"/>
    <w:rsid w:val="62673CC6"/>
    <w:rsid w:val="627C2A06"/>
    <w:rsid w:val="62AF57B9"/>
    <w:rsid w:val="634654A5"/>
    <w:rsid w:val="64010F36"/>
    <w:rsid w:val="642230A4"/>
    <w:rsid w:val="64315850"/>
    <w:rsid w:val="647572F4"/>
    <w:rsid w:val="65026850"/>
    <w:rsid w:val="65080259"/>
    <w:rsid w:val="651F7693"/>
    <w:rsid w:val="654B04AE"/>
    <w:rsid w:val="65661DF6"/>
    <w:rsid w:val="65920378"/>
    <w:rsid w:val="66120F6A"/>
    <w:rsid w:val="6619531F"/>
    <w:rsid w:val="665B7901"/>
    <w:rsid w:val="6693561A"/>
    <w:rsid w:val="67094C75"/>
    <w:rsid w:val="67917F89"/>
    <w:rsid w:val="67E25009"/>
    <w:rsid w:val="68203753"/>
    <w:rsid w:val="6836487F"/>
    <w:rsid w:val="685271DD"/>
    <w:rsid w:val="686D311A"/>
    <w:rsid w:val="68A84426"/>
    <w:rsid w:val="69156ABF"/>
    <w:rsid w:val="69A408D9"/>
    <w:rsid w:val="69B74832"/>
    <w:rsid w:val="69BB47C4"/>
    <w:rsid w:val="69CC4FB2"/>
    <w:rsid w:val="69EF7B82"/>
    <w:rsid w:val="6A042215"/>
    <w:rsid w:val="6A677DE3"/>
    <w:rsid w:val="6AAA67E9"/>
    <w:rsid w:val="6AB4505D"/>
    <w:rsid w:val="6AC931EE"/>
    <w:rsid w:val="6AE30354"/>
    <w:rsid w:val="6AE849B7"/>
    <w:rsid w:val="6B8D577C"/>
    <w:rsid w:val="6BAF0E91"/>
    <w:rsid w:val="6BB320FD"/>
    <w:rsid w:val="6BF36F5C"/>
    <w:rsid w:val="6BFF1C8F"/>
    <w:rsid w:val="6C1209CF"/>
    <w:rsid w:val="6C2063BA"/>
    <w:rsid w:val="6C49342E"/>
    <w:rsid w:val="6C6E3970"/>
    <w:rsid w:val="6C830EAB"/>
    <w:rsid w:val="6C9E395B"/>
    <w:rsid w:val="6CCC2458"/>
    <w:rsid w:val="6D083A6E"/>
    <w:rsid w:val="6D316F13"/>
    <w:rsid w:val="6D5D4C01"/>
    <w:rsid w:val="6D6E1015"/>
    <w:rsid w:val="6DC21DEE"/>
    <w:rsid w:val="6DFD5E07"/>
    <w:rsid w:val="6E02298C"/>
    <w:rsid w:val="6E322D34"/>
    <w:rsid w:val="6EC10161"/>
    <w:rsid w:val="6F005F09"/>
    <w:rsid w:val="6F1672A2"/>
    <w:rsid w:val="6F230AB4"/>
    <w:rsid w:val="7004273A"/>
    <w:rsid w:val="70780A67"/>
    <w:rsid w:val="7098047F"/>
    <w:rsid w:val="70D340D7"/>
    <w:rsid w:val="715616AA"/>
    <w:rsid w:val="71711276"/>
    <w:rsid w:val="71C3138C"/>
    <w:rsid w:val="72051B10"/>
    <w:rsid w:val="72120ABA"/>
    <w:rsid w:val="7263601A"/>
    <w:rsid w:val="72770A5C"/>
    <w:rsid w:val="72C76DE7"/>
    <w:rsid w:val="72F73753"/>
    <w:rsid w:val="731608AB"/>
    <w:rsid w:val="73202224"/>
    <w:rsid w:val="734E0078"/>
    <w:rsid w:val="735332E0"/>
    <w:rsid w:val="73562269"/>
    <w:rsid w:val="738B5C06"/>
    <w:rsid w:val="73AF659C"/>
    <w:rsid w:val="73C22724"/>
    <w:rsid w:val="73C56734"/>
    <w:rsid w:val="73F92FC0"/>
    <w:rsid w:val="74087121"/>
    <w:rsid w:val="74446355"/>
    <w:rsid w:val="745565E5"/>
    <w:rsid w:val="749F2904"/>
    <w:rsid w:val="74C90376"/>
    <w:rsid w:val="74ED2C7B"/>
    <w:rsid w:val="75195FD1"/>
    <w:rsid w:val="75332649"/>
    <w:rsid w:val="75536BE9"/>
    <w:rsid w:val="75613478"/>
    <w:rsid w:val="756A1228"/>
    <w:rsid w:val="76786027"/>
    <w:rsid w:val="76925EEA"/>
    <w:rsid w:val="76B94494"/>
    <w:rsid w:val="76FF034B"/>
    <w:rsid w:val="77BF2F67"/>
    <w:rsid w:val="7828156A"/>
    <w:rsid w:val="78460B38"/>
    <w:rsid w:val="784F6757"/>
    <w:rsid w:val="78AA2F5D"/>
    <w:rsid w:val="792361D4"/>
    <w:rsid w:val="79505EEE"/>
    <w:rsid w:val="797930B4"/>
    <w:rsid w:val="797A3807"/>
    <w:rsid w:val="7993573C"/>
    <w:rsid w:val="79D1478A"/>
    <w:rsid w:val="7A075991"/>
    <w:rsid w:val="7A2D26D7"/>
    <w:rsid w:val="7A5B50FA"/>
    <w:rsid w:val="7AF84D71"/>
    <w:rsid w:val="7B173C75"/>
    <w:rsid w:val="7B51600A"/>
    <w:rsid w:val="7B570EAD"/>
    <w:rsid w:val="7BAA4C2E"/>
    <w:rsid w:val="7BFC7065"/>
    <w:rsid w:val="7C534B9E"/>
    <w:rsid w:val="7C727D25"/>
    <w:rsid w:val="7CE849CC"/>
    <w:rsid w:val="7CE9584D"/>
    <w:rsid w:val="7CE9728A"/>
    <w:rsid w:val="7D1A2316"/>
    <w:rsid w:val="7D255388"/>
    <w:rsid w:val="7D2812F8"/>
    <w:rsid w:val="7D303962"/>
    <w:rsid w:val="7D481EC6"/>
    <w:rsid w:val="7D7E7A82"/>
    <w:rsid w:val="7D933CB3"/>
    <w:rsid w:val="7DE859AE"/>
    <w:rsid w:val="7E0F5AFE"/>
    <w:rsid w:val="7E1A72C3"/>
    <w:rsid w:val="7E7B3502"/>
    <w:rsid w:val="7ED61AC1"/>
    <w:rsid w:val="7FB95414"/>
    <w:rsid w:val="7FD30D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8">
    <w:name w:val="FollowedHyperlink"/>
    <w:basedOn w:val="7"/>
    <w:semiHidden/>
    <w:unhideWhenUsed/>
    <w:qFormat/>
    <w:uiPriority w:val="99"/>
    <w:rPr>
      <w:color w:val="954F72"/>
      <w:u w:val="single"/>
    </w:rPr>
  </w:style>
  <w:style w:type="character" w:styleId="9">
    <w:name w:val="Hyperlink"/>
    <w:basedOn w:val="7"/>
    <w:semiHidden/>
    <w:unhideWhenUsed/>
    <w:qFormat/>
    <w:uiPriority w:val="99"/>
    <w:rPr>
      <w:color w:val="0563C1"/>
      <w:u w:val="single"/>
    </w:rPr>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13">
    <w:name w:val="List Paragraph"/>
    <w:basedOn w:val="1"/>
    <w:qFormat/>
    <w:uiPriority w:val="34"/>
    <w:pPr>
      <w:ind w:firstLine="420" w:firstLineChars="200"/>
    </w:pPr>
  </w:style>
  <w:style w:type="character" w:customStyle="1" w:styleId="14">
    <w:name w:val="apple-converted-space"/>
    <w:basedOn w:val="7"/>
    <w:qFormat/>
    <w:uiPriority w:val="0"/>
  </w:style>
  <w:style w:type="paragraph" w:customStyle="1" w:styleId="1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character" w:customStyle="1" w:styleId="16">
    <w:name w:val="批注框文本 Char"/>
    <w:basedOn w:val="7"/>
    <w:link w:val="2"/>
    <w:semiHidden/>
    <w:qFormat/>
    <w:uiPriority w:val="99"/>
    <w:rPr>
      <w:sz w:val="18"/>
      <w:szCs w:val="18"/>
    </w:rPr>
  </w:style>
  <w:style w:type="paragraph" w:customStyle="1" w:styleId="17">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
    <w:name w:val="font6"/>
    <w:basedOn w:val="1"/>
    <w:qFormat/>
    <w:uiPriority w:val="0"/>
    <w:pPr>
      <w:widowControl/>
      <w:spacing w:before="100" w:beforeAutospacing="1" w:after="100" w:afterAutospacing="1"/>
      <w:jc w:val="left"/>
    </w:pPr>
    <w:rPr>
      <w:rFonts w:ascii="微软雅黑" w:hAnsi="微软雅黑" w:eastAsia="微软雅黑" w:cs="宋体"/>
      <w:kern w:val="0"/>
      <w:sz w:val="28"/>
      <w:szCs w:val="28"/>
    </w:rPr>
  </w:style>
  <w:style w:type="paragraph" w:customStyle="1" w:styleId="19">
    <w:name w:val="font7"/>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0">
    <w:name w:val="font8"/>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1">
    <w:name w:val="font9"/>
    <w:basedOn w:val="1"/>
    <w:qFormat/>
    <w:uiPriority w:val="0"/>
    <w:pPr>
      <w:widowControl/>
      <w:spacing w:before="100" w:beforeAutospacing="1" w:after="100" w:afterAutospacing="1"/>
      <w:jc w:val="left"/>
    </w:pPr>
    <w:rPr>
      <w:rFonts w:ascii="Arial" w:hAnsi="Arial" w:eastAsia="宋体" w:cs="Arial"/>
      <w:kern w:val="0"/>
      <w:sz w:val="20"/>
      <w:szCs w:val="20"/>
    </w:rPr>
  </w:style>
  <w:style w:type="paragraph" w:customStyle="1" w:styleId="22">
    <w:name w:val="font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3">
    <w:name w:val="font11"/>
    <w:basedOn w:val="1"/>
    <w:qFormat/>
    <w:uiPriority w:val="0"/>
    <w:pPr>
      <w:widowControl/>
      <w:spacing w:before="100" w:beforeAutospacing="1" w:after="100" w:afterAutospacing="1"/>
      <w:jc w:val="left"/>
    </w:pPr>
    <w:rPr>
      <w:rFonts w:ascii="微软雅黑" w:hAnsi="微软雅黑" w:eastAsia="微软雅黑" w:cs="宋体"/>
      <w:color w:val="FF0000"/>
      <w:kern w:val="0"/>
      <w:sz w:val="28"/>
      <w:szCs w:val="28"/>
    </w:rPr>
  </w:style>
  <w:style w:type="paragraph" w:customStyle="1" w:styleId="24">
    <w:name w:val="xl72"/>
    <w:basedOn w:val="1"/>
    <w:qFormat/>
    <w:uiPriority w:val="0"/>
    <w:pPr>
      <w:widowControl/>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2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26">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2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28">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3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3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3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3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3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3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color w:val="000000"/>
      <w:kern w:val="0"/>
      <w:sz w:val="28"/>
      <w:szCs w:val="28"/>
    </w:rPr>
  </w:style>
  <w:style w:type="paragraph" w:customStyle="1" w:styleId="3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3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3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3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4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4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4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4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4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4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4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4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4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4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50">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5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5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5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5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55">
    <w:name w:val="xl103"/>
    <w:basedOn w:val="1"/>
    <w:qFormat/>
    <w:uiPriority w:val="0"/>
    <w:pPr>
      <w:widowControl/>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5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5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58">
    <w:name w:val="xl106"/>
    <w:basedOn w:val="1"/>
    <w:qFormat/>
    <w:uiPriority w:val="0"/>
    <w:pPr>
      <w:widowControl/>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59">
    <w:name w:val="xl107"/>
    <w:basedOn w:val="1"/>
    <w:qFormat/>
    <w:uiPriority w:val="0"/>
    <w:pPr>
      <w:widowControl/>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60">
    <w:name w:val="xl108"/>
    <w:basedOn w:val="1"/>
    <w:qFormat/>
    <w:uiPriority w:val="0"/>
    <w:pPr>
      <w:widowControl/>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6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color w:val="FF0000"/>
      <w:kern w:val="0"/>
      <w:sz w:val="28"/>
      <w:szCs w:val="28"/>
    </w:rPr>
  </w:style>
  <w:style w:type="paragraph" w:customStyle="1" w:styleId="6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color w:val="FF0000"/>
      <w:kern w:val="0"/>
      <w:sz w:val="28"/>
      <w:szCs w:val="28"/>
    </w:rPr>
  </w:style>
  <w:style w:type="paragraph" w:customStyle="1" w:styleId="63">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64">
    <w:name w:val="xl11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65">
    <w:name w:val="xl11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66">
    <w:name w:val="xl11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67">
    <w:name w:val="xl115"/>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68">
    <w:name w:val="xl11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8"/>
      <w:szCs w:val="28"/>
    </w:rPr>
  </w:style>
  <w:style w:type="paragraph" w:customStyle="1" w:styleId="69">
    <w:name w:val="xl11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0">
    <w:name w:val="xl118"/>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1">
    <w:name w:val="xl11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2">
    <w:name w:val="xl12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3">
    <w:name w:val="xl12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4">
    <w:name w:val="xl12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5">
    <w:name w:val="xl1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6">
    <w:name w:val="xl12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7">
    <w:name w:val="xl12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8">
    <w:name w:val="xl12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8"/>
      <w:szCs w:val="28"/>
    </w:rPr>
  </w:style>
  <w:style w:type="paragraph" w:customStyle="1" w:styleId="79">
    <w:name w:val="xl127"/>
    <w:basedOn w:val="1"/>
    <w:qFormat/>
    <w:uiPriority w:val="0"/>
    <w:pPr>
      <w:widowControl/>
      <w:shd w:val="clear" w:color="000000" w:fill="FFFFFF"/>
      <w:spacing w:before="100" w:beforeAutospacing="1" w:after="100" w:afterAutospacing="1"/>
      <w:jc w:val="center"/>
    </w:pPr>
    <w:rPr>
      <w:rFonts w:ascii="微软雅黑" w:hAnsi="微软雅黑" w:eastAsia="微软雅黑" w:cs="宋体"/>
      <w:b/>
      <w:bCs/>
      <w:kern w:val="0"/>
      <w:sz w:val="36"/>
      <w:szCs w:val="36"/>
    </w:rPr>
  </w:style>
  <w:style w:type="paragraph" w:customStyle="1" w:styleId="80">
    <w:name w:val="xl128"/>
    <w:basedOn w:val="1"/>
    <w:qFormat/>
    <w:uiPriority w:val="0"/>
    <w:pPr>
      <w:widowControl/>
      <w:pBdr>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36"/>
      <w:szCs w:val="36"/>
    </w:rPr>
  </w:style>
  <w:style w:type="character" w:customStyle="1" w:styleId="81">
    <w:name w:val="font41"/>
    <w:basedOn w:val="7"/>
    <w:qFormat/>
    <w:uiPriority w:val="0"/>
    <w:rPr>
      <w:rFonts w:hint="eastAsia" w:ascii="微软雅黑" w:hAnsi="微软雅黑" w:eastAsia="微软雅黑" w:cs="微软雅黑"/>
      <w:color w:val="000000"/>
      <w:sz w:val="40"/>
      <w:szCs w:val="40"/>
      <w:u w:val="none"/>
    </w:rPr>
  </w:style>
  <w:style w:type="character" w:customStyle="1" w:styleId="82">
    <w:name w:val="font171"/>
    <w:basedOn w:val="7"/>
    <w:qFormat/>
    <w:uiPriority w:val="0"/>
    <w:rPr>
      <w:rFonts w:hint="eastAsia" w:ascii="微软雅黑" w:hAnsi="微软雅黑" w:eastAsia="微软雅黑" w:cs="微软雅黑"/>
      <w:b/>
      <w:color w:val="000000"/>
      <w:sz w:val="40"/>
      <w:szCs w:val="40"/>
      <w:u w:val="none"/>
    </w:rPr>
  </w:style>
  <w:style w:type="character" w:customStyle="1" w:styleId="83">
    <w:name w:val="font121"/>
    <w:basedOn w:val="7"/>
    <w:qFormat/>
    <w:uiPriority w:val="0"/>
    <w:rPr>
      <w:rFonts w:hint="eastAsia" w:ascii="微软雅黑" w:hAnsi="微软雅黑" w:eastAsia="微软雅黑" w:cs="微软雅黑"/>
      <w:color w:val="FF0000"/>
      <w:sz w:val="40"/>
      <w:szCs w:val="40"/>
      <w:u w:val="none"/>
    </w:rPr>
  </w:style>
  <w:style w:type="character" w:customStyle="1" w:styleId="84">
    <w:name w:val="font151"/>
    <w:basedOn w:val="7"/>
    <w:qFormat/>
    <w:uiPriority w:val="0"/>
    <w:rPr>
      <w:rFonts w:hint="eastAsia" w:ascii="微软雅黑" w:hAnsi="微软雅黑" w:eastAsia="微软雅黑" w:cs="微软雅黑"/>
      <w:color w:val="FFFFFF"/>
      <w:sz w:val="40"/>
      <w:szCs w:val="40"/>
      <w:u w:val="none"/>
    </w:rPr>
  </w:style>
  <w:style w:type="character" w:customStyle="1" w:styleId="85">
    <w:name w:val="font101"/>
    <w:basedOn w:val="7"/>
    <w:qFormat/>
    <w:uiPriority w:val="0"/>
    <w:rPr>
      <w:rFonts w:hint="eastAsia" w:ascii="微软雅黑" w:hAnsi="微软雅黑" w:eastAsia="微软雅黑" w:cs="微软雅黑"/>
      <w:color w:val="538DD5"/>
      <w:sz w:val="40"/>
      <w:szCs w:val="40"/>
      <w:u w:val="none"/>
    </w:rPr>
  </w:style>
  <w:style w:type="character" w:customStyle="1" w:styleId="86">
    <w:name w:val="font31"/>
    <w:basedOn w:val="7"/>
    <w:qFormat/>
    <w:uiPriority w:val="0"/>
    <w:rPr>
      <w:rFonts w:hint="eastAsia" w:ascii="微软雅黑" w:hAnsi="微软雅黑" w:eastAsia="微软雅黑" w:cs="微软雅黑"/>
      <w:color w:val="000000"/>
      <w:sz w:val="40"/>
      <w:szCs w:val="40"/>
      <w:u w:val="none"/>
    </w:rPr>
  </w:style>
  <w:style w:type="character" w:customStyle="1" w:styleId="87">
    <w:name w:val="font91"/>
    <w:basedOn w:val="7"/>
    <w:qFormat/>
    <w:uiPriority w:val="0"/>
    <w:rPr>
      <w:rFonts w:hint="eastAsia" w:ascii="微软雅黑" w:hAnsi="微软雅黑" w:eastAsia="微软雅黑" w:cs="微软雅黑"/>
      <w:color w:val="538DD5"/>
      <w:sz w:val="40"/>
      <w:szCs w:val="40"/>
      <w:u w:val="none"/>
    </w:rPr>
  </w:style>
  <w:style w:type="character" w:customStyle="1" w:styleId="88">
    <w:name w:val="font01"/>
    <w:basedOn w:val="7"/>
    <w:qFormat/>
    <w:uiPriority w:val="0"/>
    <w:rPr>
      <w:rFonts w:hint="eastAsia" w:ascii="微软雅黑" w:hAnsi="微软雅黑" w:eastAsia="微软雅黑" w:cs="微软雅黑"/>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0A107B-363C-483D-A4FF-2D17F3FA408D}">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25</Pages>
  <Words>7566</Words>
  <Characters>8299</Characters>
  <Lines>72</Lines>
  <Paragraphs>20</Paragraphs>
  <TotalTime>1</TotalTime>
  <ScaleCrop>false</ScaleCrop>
  <LinksUpToDate>false</LinksUpToDate>
  <CharactersWithSpaces>8362</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2020-01-08T01:47:00Z</dcterms:created>
  <dc:creator>dreamsummit</dc:creator>
  <cp:lastModifiedBy>我</cp:lastModifiedBy>
  <cp:lastPrinted>2022-12-26T06:09:00Z</cp:lastPrinted>
  <dcterms:modified xsi:type="dcterms:W3CDTF">2025-04-23T05:27:52Z</dcterms:modified>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36D15A0CD1794677B5EA282FA31DF88F</vt:lpwstr>
  </property>
</Properties>
</file>